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08" w:rsidRDefault="00356D36" w:rsidP="00BD212A">
      <w:pPr>
        <w:spacing w:after="0"/>
        <w:jc w:val="center"/>
      </w:pPr>
      <w:bookmarkStart w:id="0" w:name="_GoBack"/>
      <w:bookmarkEnd w:id="0"/>
      <w:r w:rsidRPr="000C7D59">
        <w:rPr>
          <w:noProof/>
          <w:sz w:val="24"/>
          <w:szCs w:val="24"/>
          <w:lang w:eastAsia="lv-LV"/>
        </w:rPr>
        <w:drawing>
          <wp:inline distT="0" distB="0" distL="0" distR="0">
            <wp:extent cx="518231" cy="612000"/>
            <wp:effectExtent l="0" t="0" r="0" b="0"/>
            <wp:docPr id="1" name="Picture 1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448746" name="Picture 1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1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2A" w:rsidRDefault="00356D36" w:rsidP="00BD212A">
      <w:pPr>
        <w:spacing w:after="0"/>
        <w:jc w:val="center"/>
        <w:rPr>
          <w:rFonts w:ascii="Times New Roman" w:hAnsi="Times New Roman" w:cs="Times New Roman"/>
        </w:rPr>
      </w:pPr>
      <w:r w:rsidRPr="005908E3">
        <w:rPr>
          <w:rFonts w:ascii="Times New Roman" w:hAnsi="Times New Roman" w:cs="Times New Roman"/>
        </w:rPr>
        <w:t>AIZKRAUKLES NOVADA PAŠVALDĪBA</w:t>
      </w:r>
    </w:p>
    <w:p w:rsidR="00BD212A" w:rsidRDefault="00356D36" w:rsidP="00BD212A">
      <w:pPr>
        <w:tabs>
          <w:tab w:val="center" w:pos="4734"/>
          <w:tab w:val="right" w:pos="94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66040</wp:posOffset>
                </wp:positionV>
                <wp:extent cx="5162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2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30.45pt,5.2pt" to="436.95pt,5.95pt" strokecolor="black" strokeweight="0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BD212A" w:rsidRPr="00BB02C8" w:rsidRDefault="00356D36" w:rsidP="00BD212A">
      <w:pPr>
        <w:tabs>
          <w:tab w:val="center" w:pos="4734"/>
          <w:tab w:val="right" w:pos="946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B02C8">
        <w:rPr>
          <w:rFonts w:ascii="Times New Roman" w:eastAsia="Calibri" w:hAnsi="Times New Roman" w:cs="Times New Roman"/>
          <w:sz w:val="17"/>
          <w:szCs w:val="17"/>
        </w:rPr>
        <w:t>Reģ. Nr.90000074812</w:t>
      </w:r>
    </w:p>
    <w:p w:rsidR="00BD212A" w:rsidRPr="00BB02C8" w:rsidRDefault="00356D36" w:rsidP="00447A86">
      <w:pPr>
        <w:spacing w:after="120" w:line="240" w:lineRule="auto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BB02C8">
        <w:rPr>
          <w:rFonts w:ascii="Times New Roman" w:eastAsia="Calibri" w:hAnsi="Times New Roman" w:cs="Times New Roman"/>
          <w:sz w:val="17"/>
          <w:szCs w:val="17"/>
        </w:rPr>
        <w:t xml:space="preserve">Lāčplēša iela 1A, Aizkraukle, Aizkraukles nov., LV-5101, tālr. 65133930, e-pasts dome@aizkraukle.lv, www.aizkraukle.lv </w:t>
      </w:r>
    </w:p>
    <w:p w:rsidR="00BD212A" w:rsidRPr="00BB02C8" w:rsidRDefault="00356D36" w:rsidP="00BD212A">
      <w:pPr>
        <w:spacing w:after="120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BB02C8">
        <w:rPr>
          <w:rFonts w:ascii="Times New Roman" w:eastAsia="Calibri" w:hAnsi="Times New Roman" w:cs="Times New Roman"/>
          <w:sz w:val="24"/>
          <w:szCs w:val="24"/>
        </w:rPr>
        <w:t>Aizkrauklē</w:t>
      </w:r>
      <w:r w:rsidRPr="00BB02C8">
        <w:rPr>
          <w:rFonts w:ascii="Times New Roman" w:eastAsia="Calibri" w:hAnsi="Times New Roman" w:cs="Times New Roman"/>
          <w:sz w:val="17"/>
          <w:szCs w:val="17"/>
        </w:rPr>
        <w:t xml:space="preserve"> </w:t>
      </w:r>
    </w:p>
    <w:p w:rsidR="00BD212A" w:rsidRPr="00BB02C8" w:rsidRDefault="00356D36" w:rsidP="00BD2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11.11.2021.</w:t>
      </w:r>
      <w:r w:rsidRPr="00BB02C8">
        <w:rPr>
          <w:rFonts w:ascii="Times New Roman" w:hAnsi="Times New Roman" w:cs="Times New Roman"/>
          <w:sz w:val="24"/>
          <w:szCs w:val="24"/>
        </w:rPr>
        <w:t xml:space="preserve"> Nr. </w:t>
      </w:r>
      <w:r w:rsidRPr="00BB02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3.4/N/21/1227</w:t>
      </w:r>
      <w:r w:rsidRPr="00BB02C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D517C" w:rsidRPr="00BB02C8" w:rsidRDefault="00356D36" w:rsidP="00BD2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02.11.2021. </w:t>
      </w:r>
      <w:r w:rsidR="003A10D2">
        <w:rPr>
          <w:rFonts w:ascii="Times New Roman" w:hAnsi="Times New Roman" w:cs="Times New Roman"/>
          <w:sz w:val="24"/>
          <w:szCs w:val="24"/>
        </w:rPr>
        <w:t>vēstuli</w:t>
      </w:r>
    </w:p>
    <w:p w:rsidR="008957E7" w:rsidRPr="00BB02C8" w:rsidRDefault="008957E7" w:rsidP="00BD2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3F" w:rsidRDefault="00356D36" w:rsidP="00BD212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02C8">
        <w:rPr>
          <w:rFonts w:ascii="Times New Roman" w:hAnsi="Times New Roman" w:cs="Times New Roman"/>
          <w:sz w:val="24"/>
          <w:szCs w:val="24"/>
        </w:rPr>
        <w:tab/>
      </w:r>
      <w:r w:rsidRPr="00BB02C8">
        <w:rPr>
          <w:rFonts w:ascii="Times New Roman" w:hAnsi="Times New Roman" w:cs="Times New Roman"/>
          <w:sz w:val="24"/>
          <w:szCs w:val="24"/>
        </w:rPr>
        <w:tab/>
      </w:r>
      <w:r w:rsidRPr="00BB02C8">
        <w:rPr>
          <w:rFonts w:ascii="Times New Roman" w:hAnsi="Times New Roman" w:cs="Times New Roman"/>
          <w:sz w:val="24"/>
          <w:szCs w:val="24"/>
        </w:rPr>
        <w:tab/>
      </w:r>
      <w:r w:rsidRPr="00BB02C8">
        <w:rPr>
          <w:rFonts w:ascii="Times New Roman" w:hAnsi="Times New Roman" w:cs="Times New Roman"/>
          <w:sz w:val="24"/>
          <w:szCs w:val="24"/>
        </w:rPr>
        <w:tab/>
      </w:r>
      <w:r w:rsidRPr="00BB02C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AD517C" w:rsidRPr="00BB02C8">
        <w:rPr>
          <w:rFonts w:ascii="Times New Roman" w:hAnsi="Times New Roman" w:cs="Times New Roman"/>
          <w:b/>
          <w:i/>
          <w:sz w:val="24"/>
          <w:szCs w:val="24"/>
        </w:rPr>
        <w:t>LATVIJAS DAUDZBĒRNU ĢIMEŅU</w:t>
      </w:r>
    </w:p>
    <w:p w:rsidR="00BB02C8" w:rsidRPr="00BB02C8" w:rsidRDefault="00356D36" w:rsidP="00BD212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02C8">
        <w:rPr>
          <w:rFonts w:ascii="Times New Roman" w:hAnsi="Times New Roman" w:cs="Times New Roman"/>
          <w:b/>
          <w:i/>
          <w:sz w:val="24"/>
          <w:szCs w:val="24"/>
        </w:rPr>
        <w:t>BIEDRĪBU APVIENĪBA</w:t>
      </w:r>
      <w:r w:rsidR="004D783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BB02C8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BD212A" w:rsidRPr="00BB02C8" w:rsidRDefault="00356D36" w:rsidP="00BD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C8">
        <w:rPr>
          <w:rFonts w:ascii="Times New Roman" w:hAnsi="Times New Roman" w:cs="Times New Roman"/>
          <w:b/>
          <w:sz w:val="24"/>
          <w:szCs w:val="24"/>
        </w:rPr>
        <w:t>Par izmaiņām atbalsta nodrošināšanā</w:t>
      </w:r>
    </w:p>
    <w:p w:rsidR="004D783F" w:rsidRDefault="00356D36" w:rsidP="004D783F">
      <w:pPr>
        <w:pStyle w:val="Samjs"/>
        <w:spacing w:after="120" w:line="264" w:lineRule="auto"/>
        <w:ind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 xml:space="preserve">Aizkraukles novada pašvaldībā. </w:t>
      </w:r>
      <w:r w:rsidRPr="00FF4C60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tika saņemt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a</w:t>
      </w:r>
      <w:r w:rsidRPr="00FF4C60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 xml:space="preserve"> Jūsu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 xml:space="preserve"> 02.11.2021.</w:t>
      </w:r>
      <w:r w:rsidRPr="00FF4C60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vēstule</w:t>
      </w:r>
      <w:r w:rsidRPr="00FF4C60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 xml:space="preserve">(reģistrēta pašvaldībā 03.11.2021. ar Nr.3.3/21/567) </w:t>
      </w:r>
      <w:r w:rsidRPr="00FF4C60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 xml:space="preserve">par </w:t>
      </w:r>
      <w:r w:rsidRPr="004523DB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 xml:space="preserve">izmaiņām atbalsta nodrošināšanā </w:t>
      </w:r>
      <w:r w:rsidRPr="004523DB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Aizkraukles novada pašvaldības ģimenēm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.</w:t>
      </w:r>
    </w:p>
    <w:p w:rsidR="004D783F" w:rsidRPr="006E253E" w:rsidRDefault="00356D36" w:rsidP="004D783F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E253E">
        <w:rPr>
          <w:rFonts w:ascii="Times New Roman" w:hAnsi="Times New Roman" w:cs="Times New Roman"/>
          <w:sz w:val="24"/>
          <w:szCs w:val="24"/>
        </w:rPr>
        <w:t xml:space="preserve">Aizkraukles novada </w:t>
      </w:r>
      <w:r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6E253E">
        <w:rPr>
          <w:rFonts w:ascii="Times New Roman" w:hAnsi="Times New Roman" w:cs="Times New Roman"/>
          <w:sz w:val="24"/>
          <w:szCs w:val="24"/>
        </w:rPr>
        <w:t>budžetā 2022.gadā paredzētais finansējums atbalsta nodrošināšanai Aizkraukles novada pašvaldības ģimenēm, kuru aprūpē ir vismaz trīs bērni, to skaitā audžuģimenē ievietoti un aizbildnīb</w:t>
      </w:r>
      <w:r w:rsidRPr="006E253E">
        <w:rPr>
          <w:rFonts w:ascii="Times New Roman" w:hAnsi="Times New Roman" w:cs="Times New Roman"/>
          <w:sz w:val="24"/>
          <w:szCs w:val="24"/>
        </w:rPr>
        <w:t xml:space="preserve">ā esoši bērni: </w:t>
      </w:r>
    </w:p>
    <w:p w:rsidR="004D783F" w:rsidRPr="006E253E" w:rsidRDefault="00356D36" w:rsidP="004D783F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3E">
        <w:rPr>
          <w:rFonts w:ascii="Times New Roman" w:eastAsia="Calibri" w:hAnsi="Times New Roman" w:cs="Times New Roman"/>
          <w:sz w:val="24"/>
          <w:szCs w:val="24"/>
        </w:rPr>
        <w:t xml:space="preserve">Pabalsts ēdināšanas izdevumu segšanai novada izglītības iestādēs - </w:t>
      </w:r>
      <w:r w:rsidRPr="00B16967">
        <w:rPr>
          <w:rFonts w:ascii="Times New Roman" w:eastAsia="Calibri" w:hAnsi="Times New Roman" w:cs="Times New Roman"/>
          <w:bCs/>
          <w:sz w:val="24"/>
          <w:szCs w:val="24"/>
        </w:rPr>
        <w:t>daudzbērnu ģimenēm, audžuģimenēm un ģimenēm ar bērnu aizbildnībā - pabalstu</w:t>
      </w:r>
      <w:r w:rsidRPr="006E253E">
        <w:rPr>
          <w:rFonts w:ascii="Times New Roman" w:eastAsia="Calibri" w:hAnsi="Times New Roman" w:cs="Times New Roman"/>
          <w:sz w:val="24"/>
          <w:szCs w:val="24"/>
        </w:rPr>
        <w:t xml:space="preserve"> ēdināšanas izdevumu segšanai izglītības iestādē - bērniem, kuri apmeklē pirmsskolas izglītības iestādi, vispārējās vidējās vai profesionālās izglītības iestādi Aizkraukles novadā un tajā netiek nodrošināta bezmaksas ēdināšana. Pabalstu piešķir uz mācību g</w:t>
      </w:r>
      <w:r w:rsidRPr="006E253E">
        <w:rPr>
          <w:rFonts w:ascii="Times New Roman" w:eastAsia="Calibri" w:hAnsi="Times New Roman" w:cs="Times New Roman"/>
          <w:sz w:val="24"/>
          <w:szCs w:val="24"/>
        </w:rPr>
        <w:t>adu. Pabalsta apmērs ir faktiskie izdevumi par saņemto ēdināšanas pakalpojumu, pabalstu pārskaita pakalpojuma sniedzējam;</w:t>
      </w:r>
    </w:p>
    <w:p w:rsidR="004D783F" w:rsidRPr="006E253E" w:rsidRDefault="00356D36" w:rsidP="004D783F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3E">
        <w:rPr>
          <w:rFonts w:ascii="Times New Roman" w:eastAsia="Calibri" w:hAnsi="Times New Roman" w:cs="Times New Roman"/>
          <w:sz w:val="24"/>
          <w:szCs w:val="24"/>
        </w:rPr>
        <w:t>Braukšanas maksas atlaides (pašvaldības līdzfinansējums) sabiedriskajā transportā – pašvaldība nodrošina bezmaksas transportu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783F" w:rsidRPr="006E253E" w:rsidRDefault="00356D36" w:rsidP="004D783F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3E">
        <w:rPr>
          <w:rFonts w:ascii="Times New Roman" w:eastAsia="Calibri" w:hAnsi="Times New Roman" w:cs="Times New Roman"/>
          <w:sz w:val="24"/>
          <w:szCs w:val="24"/>
        </w:rPr>
        <w:t>Pabalsts individuālo mācību līdzekļu iegādei – nav paredzēts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783F" w:rsidRPr="00883C8A" w:rsidRDefault="00356D36" w:rsidP="004D783F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3E">
        <w:rPr>
          <w:rFonts w:ascii="Times New Roman" w:eastAsia="Calibri" w:hAnsi="Times New Roman" w:cs="Times New Roman"/>
          <w:sz w:val="24"/>
          <w:szCs w:val="24"/>
        </w:rPr>
        <w:t xml:space="preserve">Līdzfinansējums interešu un profesionālās ievirzes izglītībai – </w:t>
      </w:r>
      <w:r w:rsidRPr="00883C8A">
        <w:rPr>
          <w:rFonts w:ascii="Times New Roman" w:eastAsia="Calibri" w:hAnsi="Times New Roman" w:cs="Times New Roman"/>
          <w:sz w:val="24"/>
          <w:szCs w:val="24"/>
        </w:rPr>
        <w:t>pagaidām nav informācijas;</w:t>
      </w:r>
    </w:p>
    <w:p w:rsidR="004D783F" w:rsidRPr="00883C8A" w:rsidRDefault="00356D36" w:rsidP="004D783F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C8A">
        <w:rPr>
          <w:rFonts w:ascii="Times New Roman" w:eastAsia="Calibri" w:hAnsi="Times New Roman" w:cs="Times New Roman"/>
          <w:sz w:val="24"/>
          <w:szCs w:val="24"/>
        </w:rPr>
        <w:t>Līdzfinansējums bērnu dalībai vasaras nometnēs – pagaidām nav informācijas.</w:t>
      </w:r>
    </w:p>
    <w:p w:rsidR="004D783F" w:rsidRPr="00883C8A" w:rsidRDefault="00356D36" w:rsidP="004D783F">
      <w:pPr>
        <w:spacing w:after="8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C8A">
        <w:rPr>
          <w:rFonts w:ascii="Times New Roman" w:eastAsia="Calibri" w:hAnsi="Times New Roman" w:cs="Times New Roman"/>
          <w:sz w:val="24"/>
          <w:szCs w:val="24"/>
        </w:rPr>
        <w:t xml:space="preserve">2022.gada budžeta ietvaros </w:t>
      </w:r>
      <w:r w:rsidRPr="00883C8A">
        <w:rPr>
          <w:rFonts w:ascii="Times New Roman" w:eastAsia="Calibri" w:hAnsi="Times New Roman" w:cs="Times New Roman"/>
          <w:sz w:val="24"/>
          <w:szCs w:val="24"/>
        </w:rPr>
        <w:t>paredzētās izmaiņas pārējos atbalsta pasākumos ģimenēm ar bērniem:</w:t>
      </w:r>
    </w:p>
    <w:p w:rsidR="004D783F" w:rsidRPr="00883C8A" w:rsidRDefault="00356D36" w:rsidP="004D783F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C8A">
        <w:rPr>
          <w:rFonts w:ascii="Times New Roman" w:eastAsia="Calibri" w:hAnsi="Times New Roman" w:cs="Times New Roman"/>
          <w:sz w:val="24"/>
          <w:szCs w:val="24"/>
        </w:rPr>
        <w:t xml:space="preserve">Vienreizējs pabalsts ģimenei sakarā ar bērna piedzimšanu – 250 </w:t>
      </w:r>
      <w:r w:rsidRPr="00883C8A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 w:rsidRPr="00883C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783F" w:rsidRPr="00883C8A" w:rsidRDefault="00356D36" w:rsidP="004D783F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C8A">
        <w:rPr>
          <w:rFonts w:ascii="Times New Roman" w:eastAsia="Calibri" w:hAnsi="Times New Roman" w:cs="Times New Roman"/>
          <w:sz w:val="24"/>
          <w:szCs w:val="24"/>
        </w:rPr>
        <w:t>Pabalsts, uzsākot mācību gadu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3C8A">
        <w:rPr>
          <w:rFonts w:ascii="Times New Roman" w:eastAsia="Calibri" w:hAnsi="Times New Roman" w:cs="Times New Roman"/>
          <w:sz w:val="24"/>
          <w:szCs w:val="24"/>
        </w:rPr>
        <w:t xml:space="preserve">50 </w:t>
      </w:r>
      <w:r w:rsidRPr="00883C8A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 w:rsidRPr="00883C8A">
        <w:rPr>
          <w:rFonts w:ascii="Times New Roman" w:eastAsia="Calibri" w:hAnsi="Times New Roman" w:cs="Times New Roman"/>
          <w:sz w:val="24"/>
          <w:szCs w:val="24"/>
        </w:rPr>
        <w:t xml:space="preserve"> katram bērnam no trūcīgām un maznodrošinātām ģimenēm;</w:t>
      </w:r>
    </w:p>
    <w:p w:rsidR="004D783F" w:rsidRPr="00883C8A" w:rsidRDefault="00356D36" w:rsidP="004D783F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C8A">
        <w:rPr>
          <w:rFonts w:ascii="Times New Roman" w:eastAsia="Calibri" w:hAnsi="Times New Roman" w:cs="Times New Roman"/>
          <w:sz w:val="24"/>
          <w:szCs w:val="24"/>
        </w:rPr>
        <w:t>Mācību pabalsts - nav pare</w:t>
      </w:r>
      <w:r w:rsidRPr="00883C8A">
        <w:rPr>
          <w:rFonts w:ascii="Times New Roman" w:eastAsia="Calibri" w:hAnsi="Times New Roman" w:cs="Times New Roman"/>
          <w:sz w:val="24"/>
          <w:szCs w:val="24"/>
        </w:rPr>
        <w:t>dzēts;</w:t>
      </w:r>
    </w:p>
    <w:p w:rsidR="004D783F" w:rsidRPr="00883C8A" w:rsidRDefault="00356D36" w:rsidP="004D783F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C8A">
        <w:rPr>
          <w:rFonts w:ascii="Times New Roman" w:eastAsia="Calibri" w:hAnsi="Times New Roman" w:cs="Times New Roman"/>
          <w:sz w:val="24"/>
          <w:szCs w:val="24"/>
        </w:rPr>
        <w:t xml:space="preserve">Ģimenes pabalsts bērna izglītības un vajadzību nodrošināšanai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83C8A">
        <w:rPr>
          <w:rFonts w:ascii="Times New Roman" w:eastAsia="Calibri" w:hAnsi="Times New Roman" w:cs="Times New Roman"/>
          <w:sz w:val="24"/>
          <w:szCs w:val="24"/>
        </w:rPr>
        <w:t xml:space="preserve"> nav paredzēts;</w:t>
      </w:r>
    </w:p>
    <w:p w:rsidR="004D783F" w:rsidRPr="00883C8A" w:rsidRDefault="00356D36" w:rsidP="004D783F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C8A">
        <w:rPr>
          <w:rFonts w:ascii="Times New Roman" w:eastAsia="Calibri" w:hAnsi="Times New Roman" w:cs="Times New Roman"/>
          <w:sz w:val="24"/>
          <w:szCs w:val="24"/>
        </w:rPr>
        <w:t>Līdzfinansējums profesionālās ievirzes izglītības iestāžu programmās ietverto mācību procesa nodrošināšanai – pagaidām nav informācijas;</w:t>
      </w:r>
    </w:p>
    <w:p w:rsidR="004D783F" w:rsidRPr="00883C8A" w:rsidRDefault="00356D36" w:rsidP="004D783F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C8A">
        <w:rPr>
          <w:rFonts w:ascii="Times New Roman" w:eastAsia="Calibri" w:hAnsi="Times New Roman" w:cs="Times New Roman"/>
          <w:sz w:val="24"/>
          <w:szCs w:val="24"/>
        </w:rPr>
        <w:t>Ģimenes asistenta pakalpojums – t</w:t>
      </w:r>
      <w:r w:rsidRPr="00883C8A">
        <w:rPr>
          <w:rFonts w:ascii="Times New Roman" w:eastAsia="Calibri" w:hAnsi="Times New Roman" w:cs="Times New Roman"/>
          <w:sz w:val="24"/>
          <w:szCs w:val="24"/>
        </w:rPr>
        <w:t>iks nodrošināts;</w:t>
      </w:r>
    </w:p>
    <w:p w:rsidR="004D783F" w:rsidRPr="00DE52EC" w:rsidRDefault="00356D36" w:rsidP="004D783F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2EC">
        <w:rPr>
          <w:rFonts w:ascii="Times New Roman" w:eastAsia="Calibri" w:hAnsi="Times New Roman" w:cs="Times New Roman"/>
          <w:sz w:val="24"/>
          <w:szCs w:val="24"/>
        </w:rPr>
        <w:t>Brīvpusdienas skolās (no 7. līdz 12.klasei) - skatīt 1. punktu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783F" w:rsidRPr="00DE52EC" w:rsidRDefault="00356D36" w:rsidP="004D783F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2EC">
        <w:rPr>
          <w:rFonts w:ascii="Times New Roman" w:eastAsia="Calibri" w:hAnsi="Times New Roman" w:cs="Times New Roman"/>
          <w:sz w:val="24"/>
          <w:szCs w:val="24"/>
        </w:rPr>
        <w:t>Pabalsts bērnu ēdināšanas izdevumu segšanai pirmsskolas izglītības iestādēs – skatīt 1.punktu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783F" w:rsidRPr="00D062BC" w:rsidRDefault="00356D36" w:rsidP="004D783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2BC">
        <w:rPr>
          <w:rFonts w:ascii="Times New Roman" w:eastAsia="Calibri" w:hAnsi="Times New Roman" w:cs="Times New Roman"/>
          <w:sz w:val="24"/>
          <w:szCs w:val="24"/>
        </w:rPr>
        <w:t>Atbalsts audžuģimenēm:</w:t>
      </w:r>
    </w:p>
    <w:p w:rsidR="004D783F" w:rsidRPr="00D062BC" w:rsidRDefault="00356D36" w:rsidP="004D78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2BC">
        <w:rPr>
          <w:rFonts w:ascii="Times New Roman" w:eastAsia="Calibri" w:hAnsi="Times New Roman" w:cs="Times New Roman"/>
          <w:sz w:val="24"/>
          <w:szCs w:val="24"/>
        </w:rPr>
        <w:t xml:space="preserve">Pabalsts bērna uzturam - bērniem līdz 7 gadu vecumam 260 </w:t>
      </w:r>
      <w:r w:rsidRPr="00D062BC">
        <w:rPr>
          <w:rFonts w:ascii="Times New Roman" w:eastAsia="Calibri" w:hAnsi="Times New Roman" w:cs="Times New Roman"/>
          <w:sz w:val="24"/>
          <w:szCs w:val="24"/>
        </w:rPr>
        <w:t xml:space="preserve">euro, bērniem no 7-18 gadu vecumam 305 </w:t>
      </w:r>
      <w:r w:rsidRPr="00D062B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4D783F" w:rsidRPr="00D062BC" w:rsidRDefault="00356D36" w:rsidP="004D78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2BC">
        <w:rPr>
          <w:rFonts w:ascii="Times New Roman" w:eastAsia="Calibri" w:hAnsi="Times New Roman" w:cs="Times New Roman"/>
          <w:sz w:val="24"/>
          <w:szCs w:val="24"/>
        </w:rPr>
        <w:t xml:space="preserve">Vienreizējs un ikgadējs pabalsts apģērba un mīkstā inventāra iegādei – 200 </w:t>
      </w:r>
      <w:r w:rsidRPr="00D062B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 w:rsidRPr="00D062BC">
        <w:rPr>
          <w:rFonts w:ascii="Times New Roman" w:eastAsia="Calibri" w:hAnsi="Times New Roman" w:cs="Times New Roman"/>
          <w:sz w:val="24"/>
          <w:szCs w:val="24"/>
        </w:rPr>
        <w:t xml:space="preserve"> vienu reizi gadā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783F" w:rsidRPr="00D062BC" w:rsidRDefault="00356D36" w:rsidP="004D78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2BC">
        <w:rPr>
          <w:rFonts w:ascii="Times New Roman" w:eastAsia="Calibri" w:hAnsi="Times New Roman" w:cs="Times New Roman"/>
          <w:sz w:val="24"/>
          <w:szCs w:val="24"/>
        </w:rPr>
        <w:lastRenderedPageBreak/>
        <w:t>Pabalsts ēdināšanai izglītības iestādē – skatīt 1.punktu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783F" w:rsidRPr="006E253E" w:rsidRDefault="00356D36" w:rsidP="004D783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253E">
        <w:rPr>
          <w:rFonts w:ascii="Times New Roman" w:eastAsia="Calibri" w:hAnsi="Times New Roman" w:cs="Times New Roman"/>
          <w:color w:val="212121"/>
          <w:sz w:val="24"/>
          <w:szCs w:val="24"/>
        </w:rPr>
        <w:t>Atlīdzība par audžuģimenes pienākumu veikšanu</w:t>
      </w:r>
      <w:r w:rsidRPr="006E253E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6E25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atlīdzības apmērs ir proporcionāls dienu skaitam, kurās bērni (bērns) dzīvo audžuģimenē, par pamatu ņemot valstī noteikto atlīdzības apmēru par audžuģimenes pienākumu pildīšanu.</w:t>
      </w:r>
    </w:p>
    <w:p w:rsidR="00B609E1" w:rsidRPr="00BB02C8" w:rsidRDefault="00B609E1" w:rsidP="00B60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062"/>
        <w:gridCol w:w="236"/>
        <w:gridCol w:w="2629"/>
        <w:gridCol w:w="3429"/>
        <w:gridCol w:w="283"/>
      </w:tblGrid>
      <w:tr w:rsidR="001B081A" w:rsidTr="00543B9E">
        <w:tc>
          <w:tcPr>
            <w:tcW w:w="3062" w:type="dxa"/>
          </w:tcPr>
          <w:p w:rsidR="00B609E1" w:rsidRPr="00B609E1" w:rsidRDefault="00356D36" w:rsidP="005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Domes priekšsēdētājs</w:t>
            </w:r>
          </w:p>
        </w:tc>
        <w:tc>
          <w:tcPr>
            <w:tcW w:w="236" w:type="dxa"/>
          </w:tcPr>
          <w:p w:rsidR="00B609E1" w:rsidRPr="00BB02C8" w:rsidRDefault="00B609E1" w:rsidP="008A7B9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29" w:type="dxa"/>
          </w:tcPr>
          <w:p w:rsidR="00B609E1" w:rsidRDefault="00B609E1" w:rsidP="008A7B9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9" w:type="dxa"/>
            <w:hideMark/>
          </w:tcPr>
          <w:p w:rsidR="00B609E1" w:rsidRPr="00B609E1" w:rsidRDefault="00356D36" w:rsidP="00543B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1">
              <w:rPr>
                <w:rFonts w:ascii="Times New Roman" w:hAnsi="Times New Roman" w:cs="Times New Roman"/>
                <w:sz w:val="24"/>
                <w:szCs w:val="24"/>
              </w:rPr>
              <w:t xml:space="preserve">Leons Līdums </w:t>
            </w:r>
          </w:p>
        </w:tc>
        <w:tc>
          <w:tcPr>
            <w:tcW w:w="283" w:type="dxa"/>
          </w:tcPr>
          <w:p w:rsidR="00B609E1" w:rsidRPr="00BB02C8" w:rsidRDefault="00B609E1" w:rsidP="008A7B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2F5F7"/>
              </w:rPr>
            </w:pPr>
          </w:p>
        </w:tc>
      </w:tr>
    </w:tbl>
    <w:p w:rsidR="00BD212A" w:rsidRPr="00BB02C8" w:rsidRDefault="00BD212A" w:rsidP="00BD212A">
      <w:pPr>
        <w:rPr>
          <w:rFonts w:ascii="Times New Roman" w:hAnsi="Times New Roman" w:cs="Times New Roman"/>
          <w:sz w:val="24"/>
          <w:szCs w:val="24"/>
        </w:rPr>
      </w:pPr>
    </w:p>
    <w:p w:rsidR="00E02CC7" w:rsidRDefault="00356D36" w:rsidP="00BD212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Kļaviņa</w:t>
      </w:r>
    </w:p>
    <w:p w:rsidR="00BD212A" w:rsidRDefault="00356D36" w:rsidP="00BD212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02C8">
        <w:rPr>
          <w:rFonts w:ascii="Times New Roman" w:hAnsi="Times New Roman" w:cs="Times New Roman"/>
          <w:i/>
          <w:sz w:val="20"/>
          <w:szCs w:val="20"/>
        </w:rPr>
        <w:t>ilze.klavina@aizkraukle.lv</w:t>
      </w:r>
    </w:p>
    <w:p w:rsidR="00BB02C8" w:rsidRPr="00BB02C8" w:rsidRDefault="00356D36" w:rsidP="00BD212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02C8">
        <w:rPr>
          <w:rFonts w:ascii="Times New Roman" w:hAnsi="Times New Roman" w:cs="Times New Roman"/>
          <w:i/>
          <w:sz w:val="20"/>
          <w:szCs w:val="20"/>
        </w:rPr>
        <w:t>65133940</w:t>
      </w:r>
    </w:p>
    <w:sectPr w:rsidR="00BB02C8" w:rsidRPr="00BB02C8" w:rsidSect="004D783F">
      <w:footerReference w:type="defaul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36" w:rsidRDefault="00356D36">
      <w:pPr>
        <w:spacing w:after="0" w:line="240" w:lineRule="auto"/>
      </w:pPr>
      <w:r>
        <w:separator/>
      </w:r>
    </w:p>
  </w:endnote>
  <w:endnote w:type="continuationSeparator" w:id="0">
    <w:p w:rsidR="00356D36" w:rsidRDefault="0035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767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12A" w:rsidRDefault="00356D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212A" w:rsidRDefault="00BD212A">
    <w:pPr>
      <w:pStyle w:val="Footer"/>
    </w:pPr>
  </w:p>
  <w:p w:rsidR="001B081A" w:rsidRDefault="00356D36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E1" w:rsidRDefault="00B609E1">
    <w:pPr>
      <w:pStyle w:val="Footer"/>
      <w:jc w:val="center"/>
    </w:pPr>
  </w:p>
  <w:p w:rsidR="00B609E1" w:rsidRDefault="00B609E1">
    <w:pPr>
      <w:pStyle w:val="Footer"/>
    </w:pPr>
  </w:p>
  <w:p w:rsidR="001B081A" w:rsidRDefault="00356D36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36" w:rsidRDefault="00356D36">
      <w:pPr>
        <w:spacing w:after="0" w:line="240" w:lineRule="auto"/>
      </w:pPr>
      <w:r>
        <w:separator/>
      </w:r>
    </w:p>
  </w:footnote>
  <w:footnote w:type="continuationSeparator" w:id="0">
    <w:p w:rsidR="00356D36" w:rsidRDefault="0035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F4820"/>
    <w:multiLevelType w:val="hybridMultilevel"/>
    <w:tmpl w:val="5B08987E"/>
    <w:lvl w:ilvl="0" w:tplc="7EFE56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02638A" w:tentative="1">
      <w:start w:val="1"/>
      <w:numFmt w:val="lowerLetter"/>
      <w:lvlText w:val="%2."/>
      <w:lvlJc w:val="left"/>
      <w:pPr>
        <w:ind w:left="1440" w:hanging="360"/>
      </w:pPr>
    </w:lvl>
    <w:lvl w:ilvl="2" w:tplc="154EC382" w:tentative="1">
      <w:start w:val="1"/>
      <w:numFmt w:val="lowerRoman"/>
      <w:lvlText w:val="%3."/>
      <w:lvlJc w:val="right"/>
      <w:pPr>
        <w:ind w:left="2160" w:hanging="180"/>
      </w:pPr>
    </w:lvl>
    <w:lvl w:ilvl="3" w:tplc="D9E4C3DA" w:tentative="1">
      <w:start w:val="1"/>
      <w:numFmt w:val="decimal"/>
      <w:lvlText w:val="%4."/>
      <w:lvlJc w:val="left"/>
      <w:pPr>
        <w:ind w:left="2880" w:hanging="360"/>
      </w:pPr>
    </w:lvl>
    <w:lvl w:ilvl="4" w:tplc="FDA67BD8" w:tentative="1">
      <w:start w:val="1"/>
      <w:numFmt w:val="lowerLetter"/>
      <w:lvlText w:val="%5."/>
      <w:lvlJc w:val="left"/>
      <w:pPr>
        <w:ind w:left="3600" w:hanging="360"/>
      </w:pPr>
    </w:lvl>
    <w:lvl w:ilvl="5" w:tplc="75ACC712" w:tentative="1">
      <w:start w:val="1"/>
      <w:numFmt w:val="lowerRoman"/>
      <w:lvlText w:val="%6."/>
      <w:lvlJc w:val="right"/>
      <w:pPr>
        <w:ind w:left="4320" w:hanging="180"/>
      </w:pPr>
    </w:lvl>
    <w:lvl w:ilvl="6" w:tplc="8BFE3B64" w:tentative="1">
      <w:start w:val="1"/>
      <w:numFmt w:val="decimal"/>
      <w:lvlText w:val="%7."/>
      <w:lvlJc w:val="left"/>
      <w:pPr>
        <w:ind w:left="5040" w:hanging="360"/>
      </w:pPr>
    </w:lvl>
    <w:lvl w:ilvl="7" w:tplc="C22EFD96" w:tentative="1">
      <w:start w:val="1"/>
      <w:numFmt w:val="lowerLetter"/>
      <w:lvlText w:val="%8."/>
      <w:lvlJc w:val="left"/>
      <w:pPr>
        <w:ind w:left="5760" w:hanging="360"/>
      </w:pPr>
    </w:lvl>
    <w:lvl w:ilvl="8" w:tplc="03BC7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C5267"/>
    <w:multiLevelType w:val="multilevel"/>
    <w:tmpl w:val="D810808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2A"/>
    <w:rsid w:val="00036BB4"/>
    <w:rsid w:val="001003BF"/>
    <w:rsid w:val="0010261F"/>
    <w:rsid w:val="001669E6"/>
    <w:rsid w:val="001B081A"/>
    <w:rsid w:val="00246F4F"/>
    <w:rsid w:val="00356D36"/>
    <w:rsid w:val="003A10D2"/>
    <w:rsid w:val="00412E94"/>
    <w:rsid w:val="00447A86"/>
    <w:rsid w:val="004523DB"/>
    <w:rsid w:val="00484952"/>
    <w:rsid w:val="004D783F"/>
    <w:rsid w:val="00543B9E"/>
    <w:rsid w:val="005908E3"/>
    <w:rsid w:val="005A76A9"/>
    <w:rsid w:val="006E253E"/>
    <w:rsid w:val="00883C8A"/>
    <w:rsid w:val="008957E7"/>
    <w:rsid w:val="008A7B93"/>
    <w:rsid w:val="00A00B08"/>
    <w:rsid w:val="00AD517C"/>
    <w:rsid w:val="00B16967"/>
    <w:rsid w:val="00B47FAD"/>
    <w:rsid w:val="00B609E1"/>
    <w:rsid w:val="00BB02C8"/>
    <w:rsid w:val="00BD212A"/>
    <w:rsid w:val="00C81115"/>
    <w:rsid w:val="00CF2D98"/>
    <w:rsid w:val="00D062BC"/>
    <w:rsid w:val="00DE52EC"/>
    <w:rsid w:val="00DE73B7"/>
    <w:rsid w:val="00E02CC7"/>
    <w:rsid w:val="00EA200F"/>
    <w:rsid w:val="00FD5744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73A1D4A-9D99-4318-8DBA-43BA1F35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2A"/>
  </w:style>
  <w:style w:type="paragraph" w:styleId="Footer">
    <w:name w:val="footer"/>
    <w:basedOn w:val="Normal"/>
    <w:link w:val="FooterChar"/>
    <w:uiPriority w:val="99"/>
    <w:unhideWhenUsed/>
    <w:rsid w:val="00BD2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2A"/>
  </w:style>
  <w:style w:type="paragraph" w:styleId="ListParagraph">
    <w:name w:val="List Paragraph"/>
    <w:basedOn w:val="Normal"/>
    <w:uiPriority w:val="34"/>
    <w:qFormat/>
    <w:rsid w:val="004D783F"/>
    <w:pPr>
      <w:ind w:left="720"/>
      <w:contextualSpacing/>
    </w:pPr>
  </w:style>
  <w:style w:type="paragraph" w:customStyle="1" w:styleId="Samjs">
    <w:name w:val="Saņēmējs"/>
    <w:basedOn w:val="Normal"/>
    <w:uiPriority w:val="3"/>
    <w:qFormat/>
    <w:rsid w:val="004D783F"/>
    <w:pPr>
      <w:spacing w:after="440" w:line="348" w:lineRule="auto"/>
      <w:contextualSpacing/>
    </w:pPr>
    <w:rPr>
      <w:rFonts w:ascii="Calibri Light" w:eastAsia="Times New Roman" w:hAnsi="Calibri Light" w:cs="Times New Roman"/>
      <w:b/>
      <w:bCs/>
      <w:color w:val="50637D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B508-0D61-45C1-8DB4-25437A80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1883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Liāna Šaltena</dc:creator>
  <cp:lastModifiedBy>User</cp:lastModifiedBy>
  <cp:revision>2</cp:revision>
  <dcterms:created xsi:type="dcterms:W3CDTF">2021-11-16T14:42:00Z</dcterms:created>
  <dcterms:modified xsi:type="dcterms:W3CDTF">2021-11-16T14:42:00Z</dcterms:modified>
</cp:coreProperties>
</file>