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BA" w:rsidRPr="00AE4838" w:rsidRDefault="0060523D" w:rsidP="001C6FBA">
      <w:pPr>
        <w:pStyle w:val="Header"/>
        <w:jc w:val="center"/>
        <w:rPr>
          <w:rFonts w:ascii="Times New Roman" w:hAnsi="Times New Roman"/>
          <w:sz w:val="28"/>
          <w:szCs w:val="28"/>
          <w:lang w:val="lv-LV"/>
        </w:rPr>
      </w:pPr>
      <w:bookmarkStart w:id="0" w:name="_GoBack"/>
      <w:bookmarkEnd w:id="0"/>
      <w:r w:rsidRPr="00AE4838">
        <w:rPr>
          <w:rFonts w:ascii="Times New Roman" w:hAnsi="Times New Roman"/>
          <w:sz w:val="28"/>
          <w:szCs w:val="28"/>
          <w:lang w:val="lv-LV"/>
        </w:rPr>
        <w:t>Rīgā</w:t>
      </w:r>
    </w:p>
    <w:p w:rsidR="001C6FBA" w:rsidRPr="00AE4838" w:rsidRDefault="001C6FBA" w:rsidP="001C6FBA">
      <w:pPr>
        <w:pStyle w:val="Header"/>
        <w:rPr>
          <w:rFonts w:ascii="Times New Roman" w:hAnsi="Times New Roman"/>
          <w:sz w:val="28"/>
          <w:szCs w:val="28"/>
          <w:lang w:val="lv-LV"/>
        </w:rPr>
      </w:pPr>
    </w:p>
    <w:tbl>
      <w:tblPr>
        <w:tblW w:w="0" w:type="auto"/>
        <w:tblLayout w:type="fixed"/>
        <w:tblLook w:val="04A0" w:firstRow="1" w:lastRow="0" w:firstColumn="1" w:lastColumn="0" w:noHBand="0" w:noVBand="1"/>
      </w:tblPr>
      <w:tblGrid>
        <w:gridCol w:w="567"/>
        <w:gridCol w:w="1843"/>
        <w:gridCol w:w="709"/>
        <w:gridCol w:w="2693"/>
      </w:tblGrid>
      <w:tr w:rsidR="00B41187" w:rsidTr="00072B59">
        <w:tc>
          <w:tcPr>
            <w:tcW w:w="567" w:type="dxa"/>
            <w:shd w:val="clear" w:color="auto" w:fill="auto"/>
          </w:tcPr>
          <w:p w:rsidR="00F340ED" w:rsidRPr="00F340ED" w:rsidRDefault="00F340ED" w:rsidP="00F340ED">
            <w:pPr>
              <w:spacing w:after="0" w:line="240" w:lineRule="auto"/>
              <w:rPr>
                <w:rFonts w:ascii="Times New Roman" w:hAnsi="Times New Roman"/>
                <w:sz w:val="28"/>
                <w:szCs w:val="28"/>
              </w:rPr>
            </w:pPr>
          </w:p>
        </w:tc>
        <w:tc>
          <w:tcPr>
            <w:tcW w:w="1843" w:type="dxa"/>
            <w:tcBorders>
              <w:bottom w:val="single" w:sz="4" w:space="0" w:color="auto"/>
            </w:tcBorders>
            <w:shd w:val="clear" w:color="auto" w:fill="auto"/>
          </w:tcPr>
          <w:p w:rsidR="00F340ED" w:rsidRPr="00F340ED" w:rsidRDefault="0060523D" w:rsidP="00F340ED">
            <w:pPr>
              <w:spacing w:after="0" w:line="240" w:lineRule="auto"/>
              <w:rPr>
                <w:rFonts w:ascii="Times New Roman" w:hAnsi="Times New Roman"/>
                <w:sz w:val="28"/>
                <w:szCs w:val="28"/>
              </w:rPr>
            </w:pPr>
            <w:r w:rsidRPr="00F340ED">
              <w:rPr>
                <w:rFonts w:ascii="Times New Roman" w:hAnsi="Times New Roman"/>
                <w:sz w:val="28"/>
                <w:szCs w:val="28"/>
              </w:rPr>
              <w:t>03.11.2023.</w:t>
            </w:r>
          </w:p>
        </w:tc>
        <w:tc>
          <w:tcPr>
            <w:tcW w:w="709" w:type="dxa"/>
            <w:shd w:val="clear" w:color="auto" w:fill="auto"/>
          </w:tcPr>
          <w:p w:rsidR="00F340ED" w:rsidRPr="00F340ED" w:rsidRDefault="0060523D" w:rsidP="00F340ED">
            <w:pPr>
              <w:spacing w:after="0" w:line="240" w:lineRule="auto"/>
              <w:jc w:val="right"/>
              <w:rPr>
                <w:rFonts w:ascii="Times New Roman" w:hAnsi="Times New Roman"/>
                <w:sz w:val="28"/>
                <w:szCs w:val="28"/>
              </w:rPr>
            </w:pPr>
            <w:proofErr w:type="spellStart"/>
            <w:r w:rsidRPr="00F340ED">
              <w:rPr>
                <w:rFonts w:ascii="Times New Roman" w:hAnsi="Times New Roman"/>
                <w:sz w:val="28"/>
                <w:szCs w:val="28"/>
              </w:rPr>
              <w:t>Nr</w:t>
            </w:r>
            <w:proofErr w:type="spellEnd"/>
            <w:r w:rsidRPr="00F340ED">
              <w:rPr>
                <w:rFonts w:ascii="Times New Roman" w:hAnsi="Times New Roman"/>
                <w:sz w:val="28"/>
                <w:szCs w:val="28"/>
              </w:rPr>
              <w:t>.</w:t>
            </w:r>
          </w:p>
        </w:tc>
        <w:tc>
          <w:tcPr>
            <w:tcW w:w="2693" w:type="dxa"/>
            <w:tcBorders>
              <w:bottom w:val="single" w:sz="4" w:space="0" w:color="auto"/>
            </w:tcBorders>
            <w:shd w:val="clear" w:color="auto" w:fill="auto"/>
          </w:tcPr>
          <w:p w:rsidR="00F340ED" w:rsidRPr="00F340ED" w:rsidRDefault="0060523D" w:rsidP="00F340ED">
            <w:pPr>
              <w:spacing w:after="0" w:line="240" w:lineRule="auto"/>
              <w:rPr>
                <w:rFonts w:ascii="Times New Roman" w:hAnsi="Times New Roman"/>
                <w:sz w:val="28"/>
                <w:szCs w:val="28"/>
              </w:rPr>
            </w:pPr>
            <w:r w:rsidRPr="00F340ED">
              <w:rPr>
                <w:rFonts w:ascii="Times New Roman" w:hAnsi="Times New Roman"/>
                <w:sz w:val="28"/>
                <w:szCs w:val="28"/>
              </w:rPr>
              <w:t>30-1-01/1650</w:t>
            </w:r>
          </w:p>
        </w:tc>
      </w:tr>
      <w:tr w:rsidR="00B41187" w:rsidTr="00072B59">
        <w:tc>
          <w:tcPr>
            <w:tcW w:w="567" w:type="dxa"/>
            <w:shd w:val="clear" w:color="auto" w:fill="auto"/>
          </w:tcPr>
          <w:p w:rsidR="00F340ED" w:rsidRPr="00F340ED" w:rsidRDefault="0060523D" w:rsidP="00F340ED">
            <w:pPr>
              <w:spacing w:after="0" w:line="240" w:lineRule="auto"/>
              <w:rPr>
                <w:rFonts w:ascii="Times New Roman" w:hAnsi="Times New Roman"/>
                <w:sz w:val="28"/>
                <w:szCs w:val="28"/>
              </w:rPr>
            </w:pPr>
            <w:proofErr w:type="spellStart"/>
            <w:r w:rsidRPr="00F340ED">
              <w:rPr>
                <w:rFonts w:ascii="Times New Roman" w:hAnsi="Times New Roman"/>
                <w:sz w:val="28"/>
                <w:szCs w:val="28"/>
              </w:rPr>
              <w:t>Uz</w:t>
            </w:r>
            <w:proofErr w:type="spellEnd"/>
          </w:p>
        </w:tc>
        <w:tc>
          <w:tcPr>
            <w:tcW w:w="1843" w:type="dxa"/>
            <w:tcBorders>
              <w:top w:val="single" w:sz="4" w:space="0" w:color="auto"/>
              <w:bottom w:val="single" w:sz="4" w:space="0" w:color="auto"/>
            </w:tcBorders>
            <w:shd w:val="clear" w:color="auto" w:fill="auto"/>
          </w:tcPr>
          <w:p w:rsidR="00F340ED" w:rsidRPr="00F340ED" w:rsidRDefault="0060523D" w:rsidP="00F340ED">
            <w:pPr>
              <w:spacing w:after="0" w:line="240" w:lineRule="auto"/>
              <w:rPr>
                <w:rFonts w:ascii="Times New Roman" w:hAnsi="Times New Roman"/>
                <w:sz w:val="28"/>
                <w:szCs w:val="28"/>
              </w:rPr>
            </w:pPr>
            <w:r w:rsidRPr="00F340ED">
              <w:rPr>
                <w:rFonts w:ascii="Times New Roman" w:hAnsi="Times New Roman"/>
                <w:sz w:val="28"/>
                <w:szCs w:val="28"/>
              </w:rPr>
              <w:t>10.10.2023</w:t>
            </w:r>
          </w:p>
        </w:tc>
        <w:tc>
          <w:tcPr>
            <w:tcW w:w="709" w:type="dxa"/>
            <w:shd w:val="clear" w:color="auto" w:fill="auto"/>
          </w:tcPr>
          <w:p w:rsidR="00F340ED" w:rsidRPr="00F340ED" w:rsidRDefault="0060523D" w:rsidP="00F340ED">
            <w:pPr>
              <w:spacing w:after="0" w:line="240" w:lineRule="auto"/>
              <w:jc w:val="right"/>
              <w:rPr>
                <w:rFonts w:ascii="Times New Roman" w:hAnsi="Times New Roman"/>
                <w:sz w:val="28"/>
                <w:szCs w:val="28"/>
              </w:rPr>
            </w:pPr>
            <w:proofErr w:type="spellStart"/>
            <w:r w:rsidRPr="00F340ED">
              <w:rPr>
                <w:rFonts w:ascii="Times New Roman" w:hAnsi="Times New Roman"/>
                <w:sz w:val="28"/>
                <w:szCs w:val="28"/>
              </w:rPr>
              <w:t>Nr</w:t>
            </w:r>
            <w:proofErr w:type="spellEnd"/>
            <w:r w:rsidRPr="00F340ED">
              <w:rPr>
                <w:rFonts w:ascii="Times New Roman" w:hAnsi="Times New Roman"/>
                <w:sz w:val="28"/>
                <w:szCs w:val="28"/>
              </w:rPr>
              <w:t>.</w:t>
            </w:r>
          </w:p>
        </w:tc>
        <w:tc>
          <w:tcPr>
            <w:tcW w:w="2693" w:type="dxa"/>
            <w:tcBorders>
              <w:top w:val="single" w:sz="4" w:space="0" w:color="auto"/>
              <w:bottom w:val="single" w:sz="4" w:space="0" w:color="auto"/>
            </w:tcBorders>
            <w:shd w:val="clear" w:color="auto" w:fill="auto"/>
          </w:tcPr>
          <w:p w:rsidR="00F340ED" w:rsidRPr="00F340ED" w:rsidRDefault="0060523D" w:rsidP="00F340ED">
            <w:pPr>
              <w:spacing w:after="0" w:line="240" w:lineRule="auto"/>
              <w:rPr>
                <w:rFonts w:ascii="Times New Roman" w:hAnsi="Times New Roman"/>
                <w:sz w:val="28"/>
                <w:szCs w:val="28"/>
              </w:rPr>
            </w:pPr>
            <w:r w:rsidRPr="00F340ED">
              <w:rPr>
                <w:rFonts w:ascii="Times New Roman" w:hAnsi="Times New Roman"/>
                <w:sz w:val="28"/>
                <w:szCs w:val="28"/>
              </w:rPr>
              <w:t>V-3-10/2023</w:t>
            </w:r>
          </w:p>
        </w:tc>
      </w:tr>
    </w:tbl>
    <w:p w:rsidR="005C7576" w:rsidRDefault="005C7576" w:rsidP="00AF35BB">
      <w:pPr>
        <w:spacing w:after="0" w:line="240" w:lineRule="auto"/>
        <w:rPr>
          <w:rFonts w:ascii="Times New Roman" w:hAnsi="Times New Roman"/>
          <w:sz w:val="28"/>
          <w:szCs w:val="28"/>
          <w:lang w:val="lv-LV"/>
        </w:rPr>
      </w:pPr>
    </w:p>
    <w:tbl>
      <w:tblPr>
        <w:tblW w:w="5358" w:type="dxa"/>
        <w:tblInd w:w="3964" w:type="dxa"/>
        <w:tblLook w:val="04A0" w:firstRow="1" w:lastRow="0" w:firstColumn="1" w:lastColumn="0" w:noHBand="0" w:noVBand="1"/>
      </w:tblPr>
      <w:tblGrid>
        <w:gridCol w:w="5358"/>
      </w:tblGrid>
      <w:tr w:rsidR="00B41187" w:rsidTr="005C7576">
        <w:tc>
          <w:tcPr>
            <w:tcW w:w="5358" w:type="dxa"/>
            <w:hideMark/>
          </w:tcPr>
          <w:p w:rsidR="005C7576" w:rsidRDefault="0060523D" w:rsidP="00AF60F1">
            <w:pPr>
              <w:spacing w:after="0" w:line="240" w:lineRule="auto"/>
              <w:jc w:val="right"/>
              <w:rPr>
                <w:rFonts w:ascii="Times New Roman" w:hAnsi="Times New Roman"/>
                <w:sz w:val="28"/>
                <w:szCs w:val="28"/>
                <w:lang w:val="lv-LV"/>
              </w:rPr>
            </w:pPr>
            <w:r w:rsidRPr="003E0A1F">
              <w:rPr>
                <w:rFonts w:ascii="Times New Roman" w:hAnsi="Times New Roman"/>
                <w:sz w:val="28"/>
                <w:lang w:val="lv-LV"/>
              </w:rPr>
              <w:t>"LATVIJAS DAUDZBĒRNU ĢIMEŅU APVIENĪBA"</w:t>
            </w:r>
            <w:r w:rsidRPr="003E0A1F">
              <w:rPr>
                <w:rFonts w:ascii="Times New Roman" w:hAnsi="Times New Roman"/>
                <w:sz w:val="28"/>
                <w:lang w:val="lv-LV"/>
              </w:rPr>
              <w:br/>
              <w:t>paziņošanai e-adresē</w:t>
            </w:r>
          </w:p>
        </w:tc>
      </w:tr>
    </w:tbl>
    <w:p w:rsidR="005C7576" w:rsidRDefault="005C7576" w:rsidP="00AF35BB">
      <w:pPr>
        <w:spacing w:after="0" w:line="240" w:lineRule="auto"/>
        <w:rPr>
          <w:rFonts w:ascii="Times New Roman" w:hAnsi="Times New Roman"/>
          <w:sz w:val="28"/>
          <w:szCs w:val="28"/>
          <w:lang w:val="lv-LV"/>
        </w:rPr>
      </w:pPr>
    </w:p>
    <w:tbl>
      <w:tblPr>
        <w:tblW w:w="0" w:type="auto"/>
        <w:tblCellMar>
          <w:left w:w="40" w:type="dxa"/>
          <w:right w:w="40" w:type="dxa"/>
        </w:tblCellMar>
        <w:tblLook w:val="04A0" w:firstRow="1" w:lastRow="0" w:firstColumn="1" w:lastColumn="0" w:noHBand="0" w:noVBand="1"/>
      </w:tblPr>
      <w:tblGrid>
        <w:gridCol w:w="4200"/>
      </w:tblGrid>
      <w:tr w:rsidR="00B41187" w:rsidTr="00E64D67">
        <w:tc>
          <w:tcPr>
            <w:tcW w:w="4200" w:type="dxa"/>
          </w:tcPr>
          <w:p w:rsidR="007F393E" w:rsidRDefault="0060523D" w:rsidP="00D103BD">
            <w:pPr>
              <w:spacing w:line="240" w:lineRule="auto"/>
              <w:rPr>
                <w:rFonts w:ascii="Times New Roman" w:hAnsi="Times New Roman"/>
                <w:sz w:val="28"/>
                <w:szCs w:val="28"/>
                <w:lang w:val="lv-LV"/>
              </w:rPr>
            </w:pPr>
            <w:r>
              <w:rPr>
                <w:rFonts w:ascii="Times New Roman" w:hAnsi="Times New Roman"/>
                <w:sz w:val="28"/>
                <w:szCs w:val="28"/>
                <w:lang w:val="lv-LV"/>
              </w:rPr>
              <w:t>Par mērķētu atbalstu iedzīvotājiem hipotekāro kredītu maksājumu palielināšanās dēļ</w:t>
            </w:r>
          </w:p>
        </w:tc>
      </w:tr>
      <w:tr w:rsidR="00B41187" w:rsidTr="001057B2">
        <w:tc>
          <w:tcPr>
            <w:tcW w:w="4200" w:type="dxa"/>
          </w:tcPr>
          <w:p w:rsidR="001057B2" w:rsidRPr="00D35948" w:rsidRDefault="0060523D" w:rsidP="001057B2">
            <w:pPr>
              <w:spacing w:line="240" w:lineRule="auto"/>
              <w:rPr>
                <w:rFonts w:ascii="Times New Roman" w:hAnsi="Times New Roman"/>
                <w:sz w:val="28"/>
                <w:szCs w:val="28"/>
                <w:lang w:val="lv-LV"/>
              </w:rPr>
            </w:pPr>
            <w:r>
              <w:rPr>
                <w:rFonts w:ascii="Times New Roman" w:hAnsi="Times New Roman"/>
                <w:sz w:val="28"/>
                <w:szCs w:val="28"/>
                <w:lang w:val="lv-LV"/>
              </w:rPr>
              <w:tab/>
            </w:r>
          </w:p>
        </w:tc>
      </w:tr>
    </w:tbl>
    <w:p w:rsidR="001057B2" w:rsidRDefault="0060523D" w:rsidP="001057B2">
      <w:pPr>
        <w:spacing w:after="0"/>
        <w:jc w:val="both"/>
        <w:rPr>
          <w:rFonts w:ascii="Times New Roman" w:hAnsi="Times New Roman"/>
          <w:sz w:val="28"/>
          <w:szCs w:val="28"/>
          <w:lang w:val="lv-LV"/>
        </w:rPr>
      </w:pPr>
      <w:r w:rsidRPr="00D35948">
        <w:rPr>
          <w:rFonts w:ascii="Times New Roman" w:hAnsi="Times New Roman"/>
          <w:sz w:val="28"/>
          <w:szCs w:val="28"/>
          <w:lang w:val="lv-LV"/>
        </w:rPr>
        <w:tab/>
        <w:t xml:space="preserve">Labklājības ministrija (turpmāk – </w:t>
      </w:r>
      <w:r w:rsidRPr="00D35948">
        <w:rPr>
          <w:rFonts w:ascii="Times New Roman" w:hAnsi="Times New Roman"/>
          <w:sz w:val="28"/>
          <w:szCs w:val="28"/>
          <w:lang w:val="lv-LV"/>
        </w:rPr>
        <w:t>ministrija) ir saņēmusi Latvijas Daudzbērnu ģimeņu apvienības 2023.</w:t>
      </w:r>
      <w:r>
        <w:rPr>
          <w:rFonts w:ascii="Times New Roman" w:hAnsi="Times New Roman"/>
          <w:sz w:val="28"/>
          <w:szCs w:val="28"/>
          <w:lang w:val="lv-LV"/>
        </w:rPr>
        <w:t> </w:t>
      </w:r>
      <w:r w:rsidRPr="00D35948">
        <w:rPr>
          <w:rFonts w:ascii="Times New Roman" w:hAnsi="Times New Roman"/>
          <w:sz w:val="28"/>
          <w:szCs w:val="28"/>
          <w:lang w:val="lv-LV"/>
        </w:rPr>
        <w:t>gada 10.</w:t>
      </w:r>
      <w:r>
        <w:rPr>
          <w:rFonts w:ascii="Times New Roman" w:hAnsi="Times New Roman"/>
          <w:sz w:val="28"/>
          <w:szCs w:val="28"/>
          <w:lang w:val="lv-LV"/>
        </w:rPr>
        <w:t xml:space="preserve"> </w:t>
      </w:r>
      <w:r w:rsidRPr="00D35948">
        <w:rPr>
          <w:rFonts w:ascii="Times New Roman" w:hAnsi="Times New Roman"/>
          <w:sz w:val="28"/>
          <w:szCs w:val="28"/>
          <w:lang w:val="lv-LV"/>
        </w:rPr>
        <w:t>oktobra vēstuli Nr. V-3-10/2023, kurā hipotekāro kredītu maksājumu palielināšanās dēļ tiek rosināts ģimenēm ar bērniem, kuras neatbilst trūcīgo statusam, lai pretendētu uz sociālo</w:t>
      </w:r>
      <w:r w:rsidRPr="00D35948">
        <w:rPr>
          <w:rFonts w:ascii="Times New Roman" w:hAnsi="Times New Roman"/>
          <w:sz w:val="28"/>
          <w:szCs w:val="28"/>
          <w:lang w:val="lv-LV"/>
        </w:rPr>
        <w:t xml:space="preserve"> mājokli, bet kurām nav arī pietiekami lieli ienākumi, lai atbilstu droša kredītņēmēja prasībām un varētu saņemt kredītu vajadzībām atbilstoša mājokļa iegādei, izmantot esošo atbalsta instrumentu – </w:t>
      </w:r>
      <w:r w:rsidRPr="00D35948">
        <w:rPr>
          <w:rFonts w:ascii="Times New Roman" w:hAnsi="Times New Roman"/>
          <w:b/>
          <w:sz w:val="28"/>
          <w:szCs w:val="28"/>
          <w:lang w:val="lv-LV"/>
        </w:rPr>
        <w:t>mājokļu pabalstu</w:t>
      </w:r>
      <w:r w:rsidRPr="00D35948">
        <w:rPr>
          <w:rFonts w:ascii="Times New Roman" w:hAnsi="Times New Roman"/>
          <w:sz w:val="28"/>
          <w:szCs w:val="28"/>
          <w:lang w:val="lv-LV"/>
        </w:rPr>
        <w:t xml:space="preserve">, mainot pabalsta aprēķināšanas kārtību </w:t>
      </w:r>
      <w:r w:rsidRPr="00D35948">
        <w:rPr>
          <w:rFonts w:ascii="Times New Roman" w:hAnsi="Times New Roman"/>
          <w:sz w:val="28"/>
          <w:szCs w:val="28"/>
          <w:lang w:val="lv-LV"/>
        </w:rPr>
        <w:t>par labu pabalstu saņēmējiem, tādējādi paplašinot pabalsta saņēmēju loku un situācijas, kurās mājsaimniecī</w:t>
      </w:r>
      <w:r>
        <w:rPr>
          <w:rFonts w:ascii="Times New Roman" w:hAnsi="Times New Roman"/>
          <w:sz w:val="28"/>
          <w:szCs w:val="28"/>
          <w:lang w:val="lv-LV"/>
        </w:rPr>
        <w:t xml:space="preserve">ba var saņemt mājokļa pabalstu. Ministrija sniedz </w:t>
      </w:r>
      <w:r w:rsidRPr="00D35948">
        <w:rPr>
          <w:rFonts w:ascii="Times New Roman" w:hAnsi="Times New Roman"/>
          <w:sz w:val="28"/>
          <w:szCs w:val="28"/>
          <w:lang w:val="lv-LV"/>
        </w:rPr>
        <w:t>atbildi</w:t>
      </w:r>
      <w:r>
        <w:rPr>
          <w:rFonts w:ascii="Times New Roman" w:hAnsi="Times New Roman"/>
          <w:sz w:val="28"/>
          <w:szCs w:val="28"/>
          <w:lang w:val="lv-LV"/>
        </w:rPr>
        <w:t xml:space="preserve"> par sniegto priekšlikumu</w:t>
      </w:r>
      <w:r w:rsidRPr="00D35948">
        <w:rPr>
          <w:rFonts w:ascii="Times New Roman" w:hAnsi="Times New Roman"/>
          <w:sz w:val="28"/>
          <w:szCs w:val="28"/>
          <w:lang w:val="lv-LV"/>
        </w:rPr>
        <w:t xml:space="preserve">. </w:t>
      </w:r>
    </w:p>
    <w:p w:rsidR="001057B2" w:rsidRPr="00D35948" w:rsidRDefault="0060523D" w:rsidP="001057B2">
      <w:pPr>
        <w:widowControl/>
        <w:spacing w:after="0"/>
        <w:ind w:firstLine="720"/>
        <w:contextualSpacing/>
        <w:jc w:val="both"/>
        <w:rPr>
          <w:rFonts w:ascii="Times New Roman" w:hAnsi="Times New Roman"/>
          <w:sz w:val="28"/>
          <w:szCs w:val="28"/>
          <w:lang w:val="lv-LV"/>
        </w:rPr>
      </w:pPr>
      <w:r w:rsidRPr="00D35948">
        <w:rPr>
          <w:rFonts w:ascii="Times New Roman" w:hAnsi="Times New Roman"/>
          <w:sz w:val="28"/>
          <w:szCs w:val="28"/>
          <w:lang w:val="lv-LV"/>
        </w:rPr>
        <w:t>Mājokļa pabalsts ir viens no diviem pamata sociālās palīdzības pa</w:t>
      </w:r>
      <w:r w:rsidRPr="00D35948">
        <w:rPr>
          <w:rFonts w:ascii="Times New Roman" w:hAnsi="Times New Roman"/>
          <w:sz w:val="28"/>
          <w:szCs w:val="28"/>
          <w:lang w:val="lv-LV"/>
        </w:rPr>
        <w:t xml:space="preserve">balstiem, </w:t>
      </w:r>
      <w:r>
        <w:rPr>
          <w:rFonts w:ascii="Times New Roman" w:hAnsi="Times New Roman"/>
          <w:sz w:val="28"/>
          <w:szCs w:val="28"/>
          <w:lang w:val="lv-LV"/>
        </w:rPr>
        <w:t>kas paredzēts</w:t>
      </w:r>
      <w:r w:rsidRPr="00D35948">
        <w:rPr>
          <w:rFonts w:ascii="Times New Roman" w:hAnsi="Times New Roman"/>
          <w:sz w:val="28"/>
          <w:szCs w:val="28"/>
          <w:lang w:val="lv-LV"/>
        </w:rPr>
        <w:t xml:space="preserve"> ar mājokļa lietošanu saistīto izdevumu segšanai</w:t>
      </w:r>
      <w:r>
        <w:rPr>
          <w:rFonts w:ascii="Times New Roman" w:hAnsi="Times New Roman"/>
          <w:sz w:val="28"/>
          <w:szCs w:val="28"/>
          <w:lang w:val="lv-LV"/>
        </w:rPr>
        <w:t xml:space="preserve"> mājsaimniecībām ar zemiem ienākumiem</w:t>
      </w:r>
      <w:r w:rsidRPr="00D35948">
        <w:rPr>
          <w:rFonts w:ascii="Times New Roman" w:hAnsi="Times New Roman"/>
          <w:sz w:val="28"/>
          <w:szCs w:val="28"/>
          <w:lang w:val="lv-LV"/>
        </w:rPr>
        <w:t>.</w:t>
      </w:r>
      <w:r>
        <w:rPr>
          <w:rFonts w:ascii="Times New Roman" w:hAnsi="Times New Roman"/>
          <w:sz w:val="28"/>
          <w:szCs w:val="28"/>
          <w:lang w:val="lv-LV"/>
        </w:rPr>
        <w:t xml:space="preserve"> Kopš 2021. gada a</w:t>
      </w:r>
      <w:r w:rsidRPr="00D35948">
        <w:rPr>
          <w:rFonts w:ascii="Times New Roman" w:hAnsi="Times New Roman"/>
          <w:sz w:val="28"/>
          <w:szCs w:val="28"/>
          <w:lang w:val="lv-LV"/>
        </w:rPr>
        <w:t>tbilstība trūcī</w:t>
      </w:r>
      <w:r>
        <w:rPr>
          <w:rFonts w:ascii="Times New Roman" w:hAnsi="Times New Roman"/>
          <w:sz w:val="28"/>
          <w:szCs w:val="28"/>
          <w:lang w:val="lv-LV"/>
        </w:rPr>
        <w:t>gas vai maznodrošināta</w:t>
      </w:r>
      <w:r w:rsidRPr="00D35948">
        <w:rPr>
          <w:rFonts w:ascii="Times New Roman" w:hAnsi="Times New Roman"/>
          <w:sz w:val="28"/>
          <w:szCs w:val="28"/>
          <w:lang w:val="lv-LV"/>
        </w:rPr>
        <w:t xml:space="preserve">s mājsaimniecības statusam </w:t>
      </w:r>
      <w:r>
        <w:rPr>
          <w:rFonts w:ascii="Times New Roman" w:hAnsi="Times New Roman"/>
          <w:sz w:val="28"/>
          <w:szCs w:val="28"/>
          <w:lang w:val="lv-LV"/>
        </w:rPr>
        <w:t xml:space="preserve">vairs </w:t>
      </w:r>
      <w:r w:rsidRPr="00D35948">
        <w:rPr>
          <w:rFonts w:ascii="Times New Roman" w:hAnsi="Times New Roman"/>
          <w:sz w:val="28"/>
          <w:szCs w:val="28"/>
          <w:lang w:val="lv-LV"/>
        </w:rPr>
        <w:t>nav priekšnosacījums mājokļa pabalsta saņemšanai</w:t>
      </w:r>
      <w:r>
        <w:rPr>
          <w:rFonts w:ascii="Times New Roman" w:hAnsi="Times New Roman"/>
          <w:sz w:val="28"/>
          <w:szCs w:val="28"/>
          <w:lang w:val="lv-LV"/>
        </w:rPr>
        <w:t>, proti, mā</w:t>
      </w:r>
      <w:r>
        <w:rPr>
          <w:rFonts w:ascii="Times New Roman" w:hAnsi="Times New Roman"/>
          <w:sz w:val="28"/>
          <w:szCs w:val="28"/>
          <w:lang w:val="lv-LV"/>
        </w:rPr>
        <w:t>jokļa pabalstu mājsaimniecība saņem neatkarīgi no minēto statusu esamības</w:t>
      </w:r>
      <w:r w:rsidRPr="00D35948">
        <w:rPr>
          <w:rFonts w:ascii="Times New Roman" w:hAnsi="Times New Roman"/>
          <w:sz w:val="28"/>
          <w:szCs w:val="28"/>
          <w:lang w:val="lv-LV"/>
        </w:rPr>
        <w:t xml:space="preserve">. </w:t>
      </w:r>
      <w:r>
        <w:rPr>
          <w:rFonts w:ascii="Times New Roman" w:hAnsi="Times New Roman"/>
          <w:sz w:val="28"/>
          <w:szCs w:val="28"/>
          <w:lang w:val="lv-LV"/>
        </w:rPr>
        <w:t xml:space="preserve">Tomēr mājokļa pabalsta aprēķina formulā ir izmantots </w:t>
      </w:r>
      <w:r w:rsidRPr="00D35948">
        <w:rPr>
          <w:rFonts w:ascii="Times New Roman" w:hAnsi="Times New Roman"/>
          <w:sz w:val="28"/>
          <w:szCs w:val="28"/>
          <w:lang w:val="lv-LV"/>
        </w:rPr>
        <w:t>gara</w:t>
      </w:r>
      <w:r>
        <w:rPr>
          <w:rFonts w:ascii="Times New Roman" w:hAnsi="Times New Roman"/>
          <w:sz w:val="28"/>
          <w:szCs w:val="28"/>
          <w:lang w:val="lv-LV"/>
        </w:rPr>
        <w:t xml:space="preserve">ntētā minimālā ienākuma (turpmāk – GMI) slieksnis. </w:t>
      </w:r>
      <w:r w:rsidRPr="00D35948">
        <w:rPr>
          <w:rFonts w:ascii="Times New Roman" w:hAnsi="Times New Roman"/>
          <w:sz w:val="28"/>
          <w:szCs w:val="28"/>
          <w:lang w:val="lv-LV"/>
        </w:rPr>
        <w:t xml:space="preserve">Mājokļa pabalsta apmēru aprēķina kā starpību starp </w:t>
      </w:r>
      <w:r>
        <w:rPr>
          <w:rFonts w:ascii="Times New Roman" w:hAnsi="Times New Roman"/>
          <w:sz w:val="28"/>
          <w:szCs w:val="28"/>
          <w:lang w:val="lv-LV"/>
        </w:rPr>
        <w:t>GMI</w:t>
      </w:r>
      <w:r w:rsidRPr="00D35948">
        <w:rPr>
          <w:rFonts w:ascii="Times New Roman" w:hAnsi="Times New Roman"/>
          <w:sz w:val="28"/>
          <w:szCs w:val="28"/>
          <w:lang w:val="lv-LV"/>
        </w:rPr>
        <w:t xml:space="preserve"> sliekšņu summu māj</w:t>
      </w:r>
      <w:r w:rsidRPr="00D35948">
        <w:rPr>
          <w:rFonts w:ascii="Times New Roman" w:hAnsi="Times New Roman"/>
          <w:sz w:val="28"/>
          <w:szCs w:val="28"/>
          <w:lang w:val="lv-LV"/>
        </w:rPr>
        <w:t>saimniecībai, kas reizināta ar attiecīgu koeficientu</w:t>
      </w:r>
      <w:r>
        <w:rPr>
          <w:rStyle w:val="FootnoteReference"/>
          <w:rFonts w:ascii="Times New Roman" w:hAnsi="Times New Roman"/>
          <w:sz w:val="28"/>
          <w:szCs w:val="28"/>
          <w:lang w:val="lv-LV"/>
        </w:rPr>
        <w:footnoteReference w:id="2"/>
      </w:r>
      <w:r w:rsidRPr="00D35948">
        <w:rPr>
          <w:rFonts w:ascii="Times New Roman" w:hAnsi="Times New Roman"/>
          <w:sz w:val="28"/>
          <w:szCs w:val="28"/>
          <w:lang w:val="lv-LV"/>
        </w:rPr>
        <w:t xml:space="preserve">, </w:t>
      </w:r>
      <w:r w:rsidRPr="00D35948">
        <w:rPr>
          <w:rFonts w:ascii="Times New Roman" w:hAnsi="Times New Roman"/>
          <w:sz w:val="28"/>
          <w:szCs w:val="28"/>
          <w:lang w:val="lv-LV"/>
        </w:rPr>
        <w:lastRenderedPageBreak/>
        <w:t xml:space="preserve">rēķinos vai kvītīs aprēķināto maksājumu summu par attiecīgo periodu </w:t>
      </w:r>
      <w:r w:rsidRPr="00D35948">
        <w:rPr>
          <w:rFonts w:ascii="Times New Roman" w:hAnsi="Times New Roman"/>
          <w:i/>
          <w:iCs/>
          <w:sz w:val="28"/>
          <w:szCs w:val="28"/>
          <w:lang w:val="lv-LV"/>
        </w:rPr>
        <w:t>(nepārsniedz</w:t>
      </w:r>
      <w:r>
        <w:rPr>
          <w:rFonts w:ascii="Times New Roman" w:hAnsi="Times New Roman"/>
          <w:i/>
          <w:iCs/>
          <w:sz w:val="28"/>
          <w:szCs w:val="28"/>
          <w:lang w:val="lv-LV"/>
        </w:rPr>
        <w:t>ot normatīvajos aktos noteiktās</w:t>
      </w:r>
      <w:r w:rsidRPr="00D35948">
        <w:rPr>
          <w:rFonts w:ascii="Times New Roman" w:hAnsi="Times New Roman"/>
          <w:i/>
          <w:iCs/>
          <w:sz w:val="28"/>
          <w:szCs w:val="28"/>
          <w:lang w:val="lv-LV"/>
        </w:rPr>
        <w:t xml:space="preserve"> pabalsta aprēķināšanai izmantojamās izdevumu pozīciju minimālās normas</w:t>
      </w:r>
      <w:r>
        <w:rPr>
          <w:rStyle w:val="FootnoteReference"/>
          <w:rFonts w:ascii="Times New Roman" w:hAnsi="Times New Roman"/>
          <w:i/>
          <w:iCs/>
          <w:sz w:val="28"/>
          <w:szCs w:val="28"/>
          <w:lang w:val="lv-LV"/>
        </w:rPr>
        <w:footnoteReference w:id="3"/>
      </w:r>
      <w:r w:rsidRPr="00D35948">
        <w:rPr>
          <w:rFonts w:ascii="Times New Roman" w:hAnsi="Times New Roman"/>
          <w:i/>
          <w:iCs/>
          <w:sz w:val="28"/>
          <w:szCs w:val="28"/>
          <w:lang w:val="lv-LV"/>
        </w:rPr>
        <w:t>)</w:t>
      </w:r>
      <w:r w:rsidRPr="00D35948">
        <w:rPr>
          <w:rFonts w:ascii="Times New Roman" w:hAnsi="Times New Roman"/>
          <w:sz w:val="28"/>
          <w:szCs w:val="28"/>
          <w:lang w:val="lv-LV"/>
        </w:rPr>
        <w:t xml:space="preserve"> un mājsaimniecīb</w:t>
      </w:r>
      <w:r w:rsidRPr="00D35948">
        <w:rPr>
          <w:rFonts w:ascii="Times New Roman" w:hAnsi="Times New Roman"/>
          <w:sz w:val="28"/>
          <w:szCs w:val="28"/>
          <w:lang w:val="lv-LV"/>
        </w:rPr>
        <w:t>as kopējiem ienākumiem.</w:t>
      </w:r>
    </w:p>
    <w:p w:rsidR="001057B2" w:rsidRDefault="0060523D" w:rsidP="001057B2">
      <w:pPr>
        <w:widowControl/>
        <w:spacing w:after="120"/>
        <w:ind w:firstLine="720"/>
        <w:contextualSpacing/>
        <w:jc w:val="both"/>
        <w:rPr>
          <w:rFonts w:ascii="Times New Roman" w:hAnsi="Times New Roman"/>
          <w:iCs/>
          <w:sz w:val="28"/>
          <w:szCs w:val="28"/>
          <w:lang w:val="lv-LV"/>
        </w:rPr>
      </w:pPr>
      <w:r w:rsidRPr="000B7D81">
        <w:rPr>
          <w:rFonts w:ascii="Times New Roman" w:hAnsi="Times New Roman"/>
          <w:sz w:val="28"/>
          <w:szCs w:val="28"/>
          <w:lang w:val="lv-LV"/>
        </w:rPr>
        <w:t xml:space="preserve">Piemēram, </w:t>
      </w:r>
      <w:r w:rsidRPr="000B7D81">
        <w:rPr>
          <w:rFonts w:ascii="Times New Roman" w:hAnsi="Times New Roman"/>
          <w:iCs/>
          <w:sz w:val="28"/>
          <w:szCs w:val="28"/>
          <w:lang w:val="lv-LV"/>
        </w:rPr>
        <w:t>daudzbērnu ģimene (vecāki un trīs apgādībā esoši bērni)</w:t>
      </w:r>
      <w:r w:rsidRPr="000B7D81">
        <w:rPr>
          <w:rFonts w:ascii="Times New Roman" w:hAnsi="Times New Roman"/>
          <w:sz w:val="28"/>
          <w:szCs w:val="28"/>
          <w:lang w:val="lv-LV"/>
        </w:rPr>
        <w:t xml:space="preserve"> ar kopējiem ienākumiem 1200 </w:t>
      </w:r>
      <w:proofErr w:type="spellStart"/>
      <w:r w:rsidRPr="000B7D81">
        <w:rPr>
          <w:rFonts w:ascii="Times New Roman" w:hAnsi="Times New Roman"/>
          <w:i/>
          <w:iCs/>
          <w:sz w:val="28"/>
          <w:szCs w:val="28"/>
          <w:lang w:val="lv-LV"/>
        </w:rPr>
        <w:t>euro</w:t>
      </w:r>
      <w:proofErr w:type="spellEnd"/>
      <w:r w:rsidRPr="000B7D81">
        <w:rPr>
          <w:rFonts w:ascii="Times New Roman" w:hAnsi="Times New Roman"/>
          <w:sz w:val="28"/>
          <w:szCs w:val="28"/>
          <w:lang w:val="lv-LV"/>
        </w:rPr>
        <w:t xml:space="preserve"> vidēji mēnesī neatbilstu trūcīgās mājsaimniecības statusam</w:t>
      </w:r>
      <w:r>
        <w:rPr>
          <w:rStyle w:val="FootnoteReference"/>
          <w:rFonts w:ascii="Times New Roman" w:hAnsi="Times New Roman"/>
          <w:sz w:val="28"/>
          <w:szCs w:val="28"/>
          <w:lang w:val="lv-LV"/>
        </w:rPr>
        <w:footnoteReference w:id="4"/>
      </w:r>
      <w:r w:rsidRPr="000B7D81">
        <w:rPr>
          <w:rFonts w:ascii="Times New Roman" w:hAnsi="Times New Roman"/>
          <w:sz w:val="28"/>
          <w:szCs w:val="28"/>
          <w:lang w:val="lv-LV"/>
        </w:rPr>
        <w:t>, taču</w:t>
      </w:r>
      <w:r>
        <w:rPr>
          <w:rFonts w:ascii="Times New Roman" w:hAnsi="Times New Roman"/>
          <w:sz w:val="28"/>
          <w:szCs w:val="28"/>
          <w:lang w:val="lv-LV"/>
        </w:rPr>
        <w:t xml:space="preserve"> var</w:t>
      </w:r>
      <w:r w:rsidRPr="000B7D81">
        <w:rPr>
          <w:rFonts w:ascii="Times New Roman" w:hAnsi="Times New Roman"/>
          <w:sz w:val="28"/>
          <w:szCs w:val="28"/>
          <w:lang w:val="lv-LV"/>
        </w:rPr>
        <w:t xml:space="preserve"> pretendēt uz mājokļa pabalstu, ja izmaksas par mājokli pārsniegtu 487,50 </w:t>
      </w:r>
      <w:proofErr w:type="spellStart"/>
      <w:r w:rsidRPr="00E10B30">
        <w:rPr>
          <w:rFonts w:ascii="Times New Roman" w:hAnsi="Times New Roman"/>
          <w:i/>
          <w:sz w:val="28"/>
          <w:szCs w:val="28"/>
          <w:lang w:val="lv-LV"/>
        </w:rPr>
        <w:t>euro</w:t>
      </w:r>
      <w:proofErr w:type="spellEnd"/>
      <w:r w:rsidRPr="000B7D81">
        <w:rPr>
          <w:rFonts w:ascii="Times New Roman" w:hAnsi="Times New Roman"/>
          <w:sz w:val="28"/>
          <w:szCs w:val="28"/>
          <w:lang w:val="lv-LV"/>
        </w:rPr>
        <w:t xml:space="preserve">. Piemēram, ja izdevumi par mājokli būtu 600 </w:t>
      </w:r>
      <w:proofErr w:type="spellStart"/>
      <w:r w:rsidRPr="00E10B30">
        <w:rPr>
          <w:rFonts w:ascii="Times New Roman" w:hAnsi="Times New Roman"/>
          <w:i/>
          <w:sz w:val="28"/>
          <w:szCs w:val="28"/>
          <w:lang w:val="lv-LV"/>
        </w:rPr>
        <w:t>euro</w:t>
      </w:r>
      <w:proofErr w:type="spellEnd"/>
      <w:r w:rsidRPr="000B7D81">
        <w:rPr>
          <w:rFonts w:ascii="Times New Roman" w:hAnsi="Times New Roman"/>
          <w:sz w:val="28"/>
          <w:szCs w:val="28"/>
          <w:lang w:val="lv-LV"/>
        </w:rPr>
        <w:t xml:space="preserve"> mēnesī, tad mājokļa pabalsta </w:t>
      </w:r>
      <w:r>
        <w:rPr>
          <w:rFonts w:ascii="Times New Roman" w:hAnsi="Times New Roman"/>
          <w:sz w:val="28"/>
          <w:szCs w:val="28"/>
          <w:lang w:val="lv-LV"/>
        </w:rPr>
        <w:t xml:space="preserve">apmērs būtu </w:t>
      </w:r>
      <w:r w:rsidRPr="000B7D81">
        <w:rPr>
          <w:rFonts w:ascii="Times New Roman" w:hAnsi="Times New Roman"/>
          <w:sz w:val="28"/>
          <w:szCs w:val="28"/>
          <w:lang w:val="lv-LV"/>
        </w:rPr>
        <w:t xml:space="preserve">112, 50 </w:t>
      </w:r>
      <w:proofErr w:type="spellStart"/>
      <w:r w:rsidRPr="000B7D81">
        <w:rPr>
          <w:rFonts w:ascii="Times New Roman" w:hAnsi="Times New Roman"/>
          <w:i/>
          <w:iCs/>
          <w:sz w:val="28"/>
          <w:szCs w:val="28"/>
          <w:lang w:val="lv-LV"/>
        </w:rPr>
        <w:t>euro</w:t>
      </w:r>
      <w:proofErr w:type="spellEnd"/>
      <w:r>
        <w:rPr>
          <w:rFonts w:ascii="Times New Roman" w:hAnsi="Times New Roman"/>
          <w:i/>
          <w:iCs/>
          <w:sz w:val="28"/>
          <w:szCs w:val="28"/>
          <w:lang w:val="lv-LV"/>
        </w:rPr>
        <w:t xml:space="preserve"> </w:t>
      </w:r>
      <w:r w:rsidRPr="00D47DA1">
        <w:rPr>
          <w:rFonts w:ascii="Times New Roman" w:hAnsi="Times New Roman"/>
          <w:iCs/>
          <w:sz w:val="28"/>
          <w:szCs w:val="28"/>
          <w:lang w:val="lv-LV"/>
        </w:rPr>
        <w:t>atbilstoši šai formulai</w:t>
      </w:r>
      <w:r>
        <w:rPr>
          <w:rFonts w:ascii="Times New Roman" w:hAnsi="Times New Roman"/>
          <w:iCs/>
          <w:sz w:val="28"/>
          <w:szCs w:val="28"/>
          <w:lang w:val="lv-LV"/>
        </w:rPr>
        <w:t>:</w:t>
      </w:r>
    </w:p>
    <w:p w:rsidR="001057B2" w:rsidRPr="00D47DA1" w:rsidRDefault="0060523D" w:rsidP="001057B2">
      <w:pPr>
        <w:widowControl/>
        <w:spacing w:after="120"/>
        <w:ind w:firstLine="720"/>
        <w:contextualSpacing/>
        <w:jc w:val="both"/>
        <w:rPr>
          <w:rFonts w:ascii="Times New Roman" w:hAnsi="Times New Roman"/>
          <w:b/>
          <w:bCs/>
          <w:i/>
          <w:iCs/>
          <w:sz w:val="28"/>
          <w:szCs w:val="28"/>
          <w:lang w:val="lv-LV"/>
        </w:rPr>
      </w:pPr>
      <w:proofErr w:type="spellStart"/>
      <w:r w:rsidRPr="00D47DA1">
        <w:rPr>
          <w:rFonts w:ascii="Times New Roman" w:hAnsi="Times New Roman"/>
          <w:b/>
          <w:bCs/>
          <w:i/>
          <w:iCs/>
          <w:sz w:val="28"/>
          <w:szCs w:val="28"/>
          <w:lang w:val="lv-LV"/>
        </w:rPr>
        <w:t>Pmaj</w:t>
      </w:r>
      <w:proofErr w:type="spellEnd"/>
      <w:r w:rsidRPr="00D47DA1">
        <w:rPr>
          <w:rFonts w:ascii="Times New Roman" w:hAnsi="Times New Roman"/>
          <w:b/>
          <w:bCs/>
          <w:i/>
          <w:iCs/>
          <w:sz w:val="28"/>
          <w:szCs w:val="28"/>
          <w:lang w:val="lv-LV"/>
        </w:rPr>
        <w:t xml:space="preserve"> = (GMI1 + GMI2 x N) * KOEF + K – I:</w:t>
      </w:r>
    </w:p>
    <w:p w:rsidR="001057B2" w:rsidRPr="00D47DA1" w:rsidRDefault="0060523D" w:rsidP="001057B2">
      <w:pPr>
        <w:widowControl/>
        <w:spacing w:after="120"/>
        <w:ind w:firstLine="720"/>
        <w:contextualSpacing/>
        <w:jc w:val="both"/>
        <w:rPr>
          <w:rFonts w:ascii="Times New Roman" w:hAnsi="Times New Roman"/>
          <w:sz w:val="28"/>
          <w:szCs w:val="28"/>
          <w:lang w:val="lv-LV"/>
        </w:rPr>
      </w:pPr>
      <w:r w:rsidRPr="00D47DA1">
        <w:rPr>
          <w:rFonts w:ascii="Times New Roman" w:hAnsi="Times New Roman"/>
          <w:sz w:val="28"/>
          <w:szCs w:val="28"/>
          <w:lang w:val="lv-LV"/>
        </w:rPr>
        <w:t>1)</w:t>
      </w:r>
      <w:r w:rsidRPr="00D47DA1">
        <w:rPr>
          <w:rFonts w:ascii="Times New Roman" w:hAnsi="Times New Roman"/>
          <w:sz w:val="28"/>
          <w:szCs w:val="28"/>
          <w:lang w:val="lv-LV"/>
        </w:rPr>
        <w:tab/>
        <w:t>(GMI1</w:t>
      </w:r>
      <w:r w:rsidRPr="00D47DA1">
        <w:rPr>
          <w:rFonts w:ascii="Times New Roman" w:hAnsi="Times New Roman"/>
          <w:sz w:val="28"/>
          <w:szCs w:val="28"/>
          <w:lang w:val="lv-LV"/>
        </w:rPr>
        <w:t xml:space="preserve"> + GMI2 x N) - </w:t>
      </w:r>
      <w:r>
        <w:rPr>
          <w:rFonts w:ascii="Times New Roman" w:hAnsi="Times New Roman"/>
          <w:sz w:val="28"/>
          <w:szCs w:val="28"/>
          <w:lang w:val="lv-LV"/>
        </w:rPr>
        <w:t xml:space="preserve">GMI </w:t>
      </w:r>
      <w:r w:rsidRPr="00D47DA1">
        <w:rPr>
          <w:rFonts w:ascii="Times New Roman" w:hAnsi="Times New Roman"/>
          <w:sz w:val="28"/>
          <w:szCs w:val="28"/>
          <w:lang w:val="lv-LV"/>
        </w:rPr>
        <w:t>slieksnis. Sociālo pakalpojumu un sociālās palīdzības (turpmāk – SPSP)</w:t>
      </w:r>
      <w:r>
        <w:rPr>
          <w:rFonts w:ascii="Times New Roman" w:hAnsi="Times New Roman"/>
          <w:sz w:val="28"/>
          <w:szCs w:val="28"/>
          <w:lang w:val="lv-LV"/>
        </w:rPr>
        <w:t xml:space="preserve"> likuma 33. </w:t>
      </w:r>
      <w:r w:rsidRPr="00D47DA1">
        <w:rPr>
          <w:rFonts w:ascii="Times New Roman" w:hAnsi="Times New Roman"/>
          <w:sz w:val="28"/>
          <w:szCs w:val="28"/>
          <w:lang w:val="lv-LV"/>
        </w:rPr>
        <w:t xml:space="preserve">panta otrā daļa nosaka, ka </w:t>
      </w:r>
      <w:r>
        <w:rPr>
          <w:rFonts w:ascii="Times New Roman" w:hAnsi="Times New Roman"/>
          <w:sz w:val="28"/>
          <w:szCs w:val="28"/>
          <w:lang w:val="lv-LV"/>
        </w:rPr>
        <w:t>GMI</w:t>
      </w:r>
      <w:r w:rsidRPr="00D47DA1">
        <w:rPr>
          <w:rFonts w:ascii="Times New Roman" w:hAnsi="Times New Roman"/>
          <w:sz w:val="28"/>
          <w:szCs w:val="28"/>
          <w:lang w:val="lv-LV"/>
        </w:rPr>
        <w:t xml:space="preserve"> slieksnis ir 20 </w:t>
      </w:r>
      <w:r>
        <w:rPr>
          <w:rFonts w:ascii="Times New Roman" w:hAnsi="Times New Roman"/>
          <w:sz w:val="28"/>
          <w:szCs w:val="28"/>
          <w:lang w:val="lv-LV"/>
        </w:rPr>
        <w:t>%</w:t>
      </w:r>
      <w:r w:rsidRPr="00D47DA1">
        <w:rPr>
          <w:rFonts w:ascii="Times New Roman" w:hAnsi="Times New Roman"/>
          <w:sz w:val="28"/>
          <w:szCs w:val="28"/>
          <w:lang w:val="lv-LV"/>
        </w:rPr>
        <w:t xml:space="preserve"> no ienākumu mediānas (125,00 </w:t>
      </w:r>
      <w:proofErr w:type="spellStart"/>
      <w:r w:rsidRPr="00D47DA1">
        <w:rPr>
          <w:rFonts w:ascii="Times New Roman" w:hAnsi="Times New Roman"/>
          <w:i/>
          <w:sz w:val="28"/>
          <w:szCs w:val="28"/>
          <w:lang w:val="lv-LV"/>
        </w:rPr>
        <w:t>euro</w:t>
      </w:r>
      <w:proofErr w:type="spellEnd"/>
      <w:r w:rsidRPr="00D47DA1">
        <w:rPr>
          <w:rFonts w:ascii="Times New Roman" w:hAnsi="Times New Roman"/>
          <w:sz w:val="28"/>
          <w:szCs w:val="28"/>
          <w:lang w:val="lv-LV"/>
        </w:rPr>
        <w:t xml:space="preserve"> pirmajai vai vienīgajai personai un 87,50 </w:t>
      </w:r>
      <w:proofErr w:type="spellStart"/>
      <w:r w:rsidRPr="00D47DA1">
        <w:rPr>
          <w:rFonts w:ascii="Times New Roman" w:hAnsi="Times New Roman"/>
          <w:i/>
          <w:sz w:val="28"/>
          <w:szCs w:val="28"/>
          <w:lang w:val="lv-LV"/>
        </w:rPr>
        <w:t>euro</w:t>
      </w:r>
      <w:proofErr w:type="spellEnd"/>
      <w:r w:rsidRPr="00D47DA1">
        <w:rPr>
          <w:rFonts w:ascii="Times New Roman" w:hAnsi="Times New Roman"/>
          <w:sz w:val="28"/>
          <w:szCs w:val="28"/>
          <w:lang w:val="lv-LV"/>
        </w:rPr>
        <w:t xml:space="preserve"> pārējām </w:t>
      </w:r>
      <w:r>
        <w:rPr>
          <w:rFonts w:ascii="Times New Roman" w:hAnsi="Times New Roman"/>
          <w:sz w:val="28"/>
          <w:szCs w:val="28"/>
          <w:lang w:val="lv-LV"/>
        </w:rPr>
        <w:t xml:space="preserve">personām </w:t>
      </w:r>
      <w:r w:rsidRPr="00D47DA1">
        <w:rPr>
          <w:rFonts w:ascii="Times New Roman" w:hAnsi="Times New Roman"/>
          <w:sz w:val="28"/>
          <w:szCs w:val="28"/>
          <w:lang w:val="lv-LV"/>
        </w:rPr>
        <w:t>mājsaimniecībā</w:t>
      </w:r>
      <w:r>
        <w:rPr>
          <w:rStyle w:val="FootnoteReference"/>
          <w:rFonts w:ascii="Times New Roman" w:hAnsi="Times New Roman"/>
          <w:sz w:val="28"/>
          <w:szCs w:val="28"/>
          <w:lang w:val="lv-LV"/>
        </w:rPr>
        <w:footnoteReference w:id="5"/>
      </w:r>
      <w:r w:rsidRPr="00D47DA1">
        <w:rPr>
          <w:rFonts w:ascii="Times New Roman" w:hAnsi="Times New Roman"/>
          <w:sz w:val="28"/>
          <w:szCs w:val="28"/>
          <w:lang w:val="lv-LV"/>
        </w:rPr>
        <w:t xml:space="preserve">) - (125 + 87,50 x 4) = 475 </w:t>
      </w:r>
      <w:proofErr w:type="spellStart"/>
      <w:r w:rsidRPr="00D47DA1">
        <w:rPr>
          <w:rFonts w:ascii="Times New Roman" w:hAnsi="Times New Roman"/>
          <w:i/>
          <w:sz w:val="28"/>
          <w:szCs w:val="28"/>
          <w:lang w:val="lv-LV"/>
        </w:rPr>
        <w:t>euro</w:t>
      </w:r>
      <w:proofErr w:type="spellEnd"/>
      <w:r w:rsidRPr="00D47DA1">
        <w:rPr>
          <w:rFonts w:ascii="Times New Roman" w:hAnsi="Times New Roman"/>
          <w:sz w:val="28"/>
          <w:szCs w:val="28"/>
          <w:lang w:val="lv-LV"/>
        </w:rPr>
        <w:t>.</w:t>
      </w:r>
    </w:p>
    <w:p w:rsidR="001057B2" w:rsidRPr="00D47DA1" w:rsidRDefault="0060523D" w:rsidP="001057B2">
      <w:pPr>
        <w:widowControl/>
        <w:spacing w:after="120"/>
        <w:ind w:firstLine="720"/>
        <w:contextualSpacing/>
        <w:jc w:val="both"/>
        <w:rPr>
          <w:rFonts w:ascii="Times New Roman" w:hAnsi="Times New Roman"/>
          <w:sz w:val="28"/>
          <w:szCs w:val="28"/>
          <w:lang w:val="lv-LV"/>
        </w:rPr>
      </w:pPr>
      <w:r w:rsidRPr="00D47DA1">
        <w:rPr>
          <w:rFonts w:ascii="Times New Roman" w:hAnsi="Times New Roman"/>
          <w:sz w:val="28"/>
          <w:szCs w:val="28"/>
          <w:lang w:val="lv-LV"/>
        </w:rPr>
        <w:t>2) KOEF – koeficients, kas noteikts normatīvajos aktos par sociālajiem pakalpojumiem un sociālo palīdzību. GMI sliekšņu summai mājsaimniecībai, kurā ir darbaspējīgas personas</w:t>
      </w:r>
      <w:r>
        <w:rPr>
          <w:rFonts w:ascii="Times New Roman" w:hAnsi="Times New Roman"/>
          <w:sz w:val="28"/>
          <w:szCs w:val="28"/>
          <w:lang w:val="lv-LV"/>
        </w:rPr>
        <w:t>,</w:t>
      </w:r>
      <w:r w:rsidRPr="00D47DA1">
        <w:rPr>
          <w:rFonts w:ascii="Times New Roman" w:hAnsi="Times New Roman"/>
          <w:sz w:val="28"/>
          <w:szCs w:val="28"/>
          <w:lang w:val="lv-LV"/>
        </w:rPr>
        <w:t xml:space="preserve"> piemēro koeficientu 1,5. </w:t>
      </w:r>
    </w:p>
    <w:p w:rsidR="001057B2" w:rsidRPr="00D47DA1" w:rsidRDefault="0060523D" w:rsidP="001057B2">
      <w:pPr>
        <w:widowControl/>
        <w:spacing w:after="120"/>
        <w:ind w:firstLine="720"/>
        <w:contextualSpacing/>
        <w:jc w:val="both"/>
        <w:rPr>
          <w:rFonts w:ascii="Times New Roman" w:hAnsi="Times New Roman"/>
          <w:sz w:val="28"/>
          <w:szCs w:val="28"/>
          <w:lang w:val="lv-LV"/>
        </w:rPr>
      </w:pPr>
      <w:r w:rsidRPr="00D47DA1">
        <w:rPr>
          <w:rFonts w:ascii="Times New Roman" w:hAnsi="Times New Roman"/>
          <w:sz w:val="28"/>
          <w:szCs w:val="28"/>
          <w:lang w:val="lv-LV"/>
        </w:rPr>
        <w:t>2)</w:t>
      </w:r>
      <w:r w:rsidRPr="00D47DA1">
        <w:rPr>
          <w:rFonts w:ascii="Times New Roman" w:hAnsi="Times New Roman"/>
          <w:sz w:val="28"/>
          <w:szCs w:val="28"/>
          <w:lang w:val="lv-LV"/>
        </w:rPr>
        <w:tab/>
        <w:t xml:space="preserve">K </w:t>
      </w:r>
      <w:r w:rsidRPr="00D47DA1">
        <w:rPr>
          <w:rFonts w:ascii="Times New Roman" w:hAnsi="Times New Roman"/>
          <w:sz w:val="28"/>
          <w:szCs w:val="28"/>
          <w:lang w:val="lv-LV"/>
        </w:rPr>
        <w:t xml:space="preserve">– ar mājokļa lietošanu saistīto maksājumu rēķinos norādītā faktisko izdevumu summa – 600 </w:t>
      </w:r>
      <w:proofErr w:type="spellStart"/>
      <w:r w:rsidRPr="00D7767E">
        <w:rPr>
          <w:rFonts w:ascii="Times New Roman" w:hAnsi="Times New Roman"/>
          <w:i/>
          <w:sz w:val="28"/>
          <w:szCs w:val="28"/>
          <w:lang w:val="lv-LV"/>
        </w:rPr>
        <w:t>euro</w:t>
      </w:r>
      <w:proofErr w:type="spellEnd"/>
      <w:r w:rsidRPr="00D47DA1">
        <w:rPr>
          <w:rFonts w:ascii="Times New Roman" w:hAnsi="Times New Roman"/>
          <w:sz w:val="28"/>
          <w:szCs w:val="28"/>
          <w:lang w:val="lv-LV"/>
        </w:rPr>
        <w:t xml:space="preserve">. </w:t>
      </w:r>
    </w:p>
    <w:p w:rsidR="001057B2" w:rsidRPr="00D47DA1" w:rsidRDefault="0060523D" w:rsidP="001057B2">
      <w:pPr>
        <w:widowControl/>
        <w:spacing w:after="120"/>
        <w:ind w:firstLine="720"/>
        <w:contextualSpacing/>
        <w:jc w:val="both"/>
        <w:rPr>
          <w:rFonts w:ascii="Times New Roman" w:hAnsi="Times New Roman"/>
          <w:sz w:val="28"/>
          <w:szCs w:val="28"/>
          <w:lang w:val="lv-LV"/>
        </w:rPr>
      </w:pPr>
      <w:r w:rsidRPr="00D47DA1">
        <w:rPr>
          <w:rFonts w:ascii="Times New Roman" w:hAnsi="Times New Roman"/>
          <w:sz w:val="28"/>
          <w:szCs w:val="28"/>
          <w:lang w:val="lv-LV"/>
        </w:rPr>
        <w:t>3)</w:t>
      </w:r>
      <w:r w:rsidRPr="00D47DA1">
        <w:rPr>
          <w:rFonts w:ascii="Times New Roman" w:hAnsi="Times New Roman"/>
          <w:sz w:val="28"/>
          <w:szCs w:val="28"/>
          <w:lang w:val="lv-LV"/>
        </w:rPr>
        <w:tab/>
        <w:t xml:space="preserve">I – mājsaimniecības kopējie ienākumi 1200 </w:t>
      </w:r>
      <w:proofErr w:type="spellStart"/>
      <w:r w:rsidRPr="00D7767E">
        <w:rPr>
          <w:rFonts w:ascii="Times New Roman" w:hAnsi="Times New Roman"/>
          <w:i/>
          <w:sz w:val="28"/>
          <w:szCs w:val="28"/>
          <w:lang w:val="lv-LV"/>
        </w:rPr>
        <w:t>euro</w:t>
      </w:r>
      <w:proofErr w:type="spellEnd"/>
      <w:r>
        <w:rPr>
          <w:rFonts w:ascii="Times New Roman" w:hAnsi="Times New Roman"/>
          <w:sz w:val="28"/>
          <w:szCs w:val="28"/>
          <w:lang w:val="lv-LV"/>
        </w:rPr>
        <w:t>.</w:t>
      </w:r>
    </w:p>
    <w:p w:rsidR="001057B2" w:rsidRPr="00D47DA1" w:rsidRDefault="001057B2" w:rsidP="001057B2">
      <w:pPr>
        <w:widowControl/>
        <w:spacing w:after="120"/>
        <w:ind w:firstLine="720"/>
        <w:contextualSpacing/>
        <w:jc w:val="both"/>
        <w:rPr>
          <w:rFonts w:ascii="Times New Roman" w:hAnsi="Times New Roman"/>
          <w:sz w:val="28"/>
          <w:szCs w:val="28"/>
          <w:lang w:val="lv-LV"/>
        </w:rPr>
      </w:pPr>
    </w:p>
    <w:p w:rsidR="001057B2" w:rsidRPr="00D47DA1" w:rsidRDefault="0060523D" w:rsidP="001057B2">
      <w:pPr>
        <w:widowControl/>
        <w:spacing w:after="120"/>
        <w:ind w:firstLine="720"/>
        <w:contextualSpacing/>
        <w:jc w:val="both"/>
        <w:rPr>
          <w:rFonts w:ascii="Times New Roman" w:hAnsi="Times New Roman"/>
          <w:sz w:val="28"/>
          <w:szCs w:val="28"/>
          <w:lang w:val="lv-LV"/>
        </w:rPr>
      </w:pPr>
      <w:r>
        <w:rPr>
          <w:rFonts w:ascii="Times New Roman" w:hAnsi="Times New Roman"/>
          <w:sz w:val="28"/>
          <w:szCs w:val="28"/>
          <w:lang w:val="lv-LV"/>
        </w:rPr>
        <w:t>Aprēķins</w:t>
      </w:r>
      <w:r w:rsidRPr="00D47DA1">
        <w:rPr>
          <w:rFonts w:ascii="Times New Roman" w:hAnsi="Times New Roman"/>
          <w:sz w:val="28"/>
          <w:szCs w:val="28"/>
          <w:lang w:val="lv-LV"/>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188"/>
        <w:gridCol w:w="1418"/>
        <w:gridCol w:w="1701"/>
      </w:tblGrid>
      <w:tr w:rsidR="00B41187" w:rsidTr="001057B2">
        <w:tc>
          <w:tcPr>
            <w:tcW w:w="2510" w:type="dxa"/>
            <w:shd w:val="clear" w:color="auto" w:fill="auto"/>
          </w:tcPr>
          <w:p w:rsidR="001057B2" w:rsidRPr="00D47DA1" w:rsidRDefault="0060523D" w:rsidP="001057B2">
            <w:pPr>
              <w:widowControl/>
              <w:spacing w:after="120"/>
              <w:ind w:firstLine="720"/>
              <w:contextualSpacing/>
              <w:jc w:val="both"/>
              <w:rPr>
                <w:rFonts w:ascii="Times New Roman" w:hAnsi="Times New Roman"/>
                <w:sz w:val="28"/>
                <w:szCs w:val="28"/>
                <w:lang w:val="en-GB"/>
              </w:rPr>
            </w:pPr>
            <w:proofErr w:type="spellStart"/>
            <w:r w:rsidRPr="00D47DA1">
              <w:rPr>
                <w:rFonts w:ascii="Times New Roman" w:hAnsi="Times New Roman"/>
                <w:sz w:val="28"/>
                <w:szCs w:val="28"/>
                <w:lang w:val="en-GB"/>
              </w:rPr>
              <w:t>P</w:t>
            </w:r>
            <w:r w:rsidRPr="00D47DA1">
              <w:rPr>
                <w:rFonts w:ascii="Times New Roman" w:hAnsi="Times New Roman"/>
                <w:sz w:val="28"/>
                <w:szCs w:val="28"/>
                <w:vertAlign w:val="subscript"/>
                <w:lang w:val="en-GB"/>
              </w:rPr>
              <w:t>maj</w:t>
            </w:r>
            <w:proofErr w:type="spellEnd"/>
            <w:r w:rsidRPr="00D47DA1">
              <w:rPr>
                <w:rFonts w:ascii="Times New Roman" w:hAnsi="Times New Roman"/>
                <w:sz w:val="28"/>
                <w:szCs w:val="28"/>
                <w:lang w:val="en-GB"/>
              </w:rPr>
              <w:t xml:space="preserve"> =</w:t>
            </w:r>
          </w:p>
        </w:tc>
        <w:tc>
          <w:tcPr>
            <w:tcW w:w="3188" w:type="dxa"/>
            <w:shd w:val="clear" w:color="auto" w:fill="auto"/>
          </w:tcPr>
          <w:p w:rsidR="001057B2" w:rsidRPr="00D47DA1" w:rsidRDefault="0060523D" w:rsidP="001057B2">
            <w:pPr>
              <w:widowControl/>
              <w:spacing w:after="120"/>
              <w:contextualSpacing/>
              <w:jc w:val="both"/>
              <w:rPr>
                <w:rFonts w:ascii="Times New Roman" w:hAnsi="Times New Roman"/>
                <w:sz w:val="28"/>
                <w:szCs w:val="28"/>
                <w:lang w:val="en-GB"/>
              </w:rPr>
            </w:pPr>
            <w:r w:rsidRPr="00D47DA1">
              <w:rPr>
                <w:rFonts w:ascii="Times New Roman" w:hAnsi="Times New Roman"/>
                <w:sz w:val="28"/>
                <w:szCs w:val="28"/>
                <w:lang w:val="en-GB"/>
              </w:rPr>
              <w:t>(GMI</w:t>
            </w:r>
            <w:r w:rsidRPr="00D47DA1">
              <w:rPr>
                <w:rFonts w:ascii="Times New Roman" w:hAnsi="Times New Roman"/>
                <w:sz w:val="28"/>
                <w:szCs w:val="28"/>
                <w:vertAlign w:val="superscript"/>
                <w:lang w:val="en-GB"/>
              </w:rPr>
              <w:t>1</w:t>
            </w:r>
            <w:r w:rsidRPr="00D47DA1">
              <w:rPr>
                <w:rFonts w:ascii="Times New Roman" w:hAnsi="Times New Roman"/>
                <w:sz w:val="28"/>
                <w:szCs w:val="28"/>
                <w:lang w:val="en-GB"/>
              </w:rPr>
              <w:t xml:space="preserve"> + GMI</w:t>
            </w:r>
            <w:r w:rsidRPr="00D47DA1">
              <w:rPr>
                <w:rFonts w:ascii="Times New Roman" w:hAnsi="Times New Roman"/>
                <w:sz w:val="28"/>
                <w:szCs w:val="28"/>
                <w:vertAlign w:val="superscript"/>
                <w:lang w:val="en-GB"/>
              </w:rPr>
              <w:t>2</w:t>
            </w:r>
            <w:r w:rsidRPr="00D47DA1">
              <w:rPr>
                <w:rFonts w:ascii="Times New Roman" w:hAnsi="Times New Roman"/>
                <w:sz w:val="28"/>
                <w:szCs w:val="28"/>
                <w:lang w:val="en-GB"/>
              </w:rPr>
              <w:t xml:space="preserve"> x N) * 1,5 </w:t>
            </w:r>
          </w:p>
        </w:tc>
        <w:tc>
          <w:tcPr>
            <w:tcW w:w="1418" w:type="dxa"/>
            <w:shd w:val="clear" w:color="auto" w:fill="auto"/>
          </w:tcPr>
          <w:p w:rsidR="001057B2" w:rsidRPr="00D47DA1" w:rsidRDefault="0060523D" w:rsidP="001057B2">
            <w:pPr>
              <w:widowControl/>
              <w:spacing w:after="120"/>
              <w:contextualSpacing/>
              <w:jc w:val="center"/>
              <w:rPr>
                <w:rFonts w:ascii="Times New Roman" w:hAnsi="Times New Roman"/>
                <w:sz w:val="28"/>
                <w:szCs w:val="28"/>
                <w:lang w:val="en-GB"/>
              </w:rPr>
            </w:pPr>
            <w:r w:rsidRPr="00D47DA1">
              <w:rPr>
                <w:rFonts w:ascii="Times New Roman" w:hAnsi="Times New Roman"/>
                <w:sz w:val="28"/>
                <w:szCs w:val="28"/>
                <w:lang w:val="en-GB"/>
              </w:rPr>
              <w:t>+ K</w:t>
            </w:r>
          </w:p>
        </w:tc>
        <w:tc>
          <w:tcPr>
            <w:tcW w:w="1701" w:type="dxa"/>
            <w:shd w:val="clear" w:color="auto" w:fill="auto"/>
          </w:tcPr>
          <w:p w:rsidR="001057B2" w:rsidRPr="00D47DA1" w:rsidRDefault="0060523D" w:rsidP="001057B2">
            <w:pPr>
              <w:widowControl/>
              <w:spacing w:after="120"/>
              <w:ind w:firstLine="720"/>
              <w:contextualSpacing/>
              <w:jc w:val="both"/>
              <w:rPr>
                <w:rFonts w:ascii="Times New Roman" w:hAnsi="Times New Roman"/>
                <w:sz w:val="28"/>
                <w:szCs w:val="28"/>
                <w:lang w:val="en-GB"/>
              </w:rPr>
            </w:pPr>
            <w:r w:rsidRPr="00D47DA1">
              <w:rPr>
                <w:rFonts w:ascii="Times New Roman" w:hAnsi="Times New Roman"/>
                <w:sz w:val="28"/>
                <w:szCs w:val="28"/>
                <w:lang w:val="en-GB"/>
              </w:rPr>
              <w:t>– I</w:t>
            </w:r>
          </w:p>
        </w:tc>
      </w:tr>
      <w:tr w:rsidR="00B41187" w:rsidTr="001057B2">
        <w:trPr>
          <w:trHeight w:val="367"/>
        </w:trPr>
        <w:tc>
          <w:tcPr>
            <w:tcW w:w="2510" w:type="dxa"/>
            <w:shd w:val="clear" w:color="auto" w:fill="auto"/>
          </w:tcPr>
          <w:p w:rsidR="001057B2" w:rsidRPr="00D47DA1" w:rsidRDefault="0060523D" w:rsidP="001057B2">
            <w:pPr>
              <w:widowControl/>
              <w:spacing w:after="120"/>
              <w:ind w:firstLine="720"/>
              <w:contextualSpacing/>
              <w:jc w:val="both"/>
              <w:rPr>
                <w:rFonts w:ascii="Times New Roman" w:hAnsi="Times New Roman"/>
                <w:sz w:val="28"/>
                <w:szCs w:val="28"/>
                <w:lang w:val="en-GB"/>
              </w:rPr>
            </w:pPr>
            <w:r w:rsidRPr="00D47DA1">
              <w:rPr>
                <w:rFonts w:ascii="Times New Roman" w:hAnsi="Times New Roman"/>
                <w:sz w:val="28"/>
                <w:szCs w:val="28"/>
                <w:lang w:val="en-GB"/>
              </w:rPr>
              <w:t xml:space="preserve"> 112, 50 </w:t>
            </w:r>
            <w:r w:rsidRPr="00D47DA1">
              <w:rPr>
                <w:rFonts w:ascii="Times New Roman" w:hAnsi="Times New Roman"/>
                <w:i/>
                <w:iCs/>
                <w:sz w:val="28"/>
                <w:szCs w:val="28"/>
                <w:lang w:val="en-GB"/>
              </w:rPr>
              <w:t>euro</w:t>
            </w:r>
          </w:p>
        </w:tc>
        <w:tc>
          <w:tcPr>
            <w:tcW w:w="3188" w:type="dxa"/>
            <w:shd w:val="clear" w:color="auto" w:fill="auto"/>
          </w:tcPr>
          <w:p w:rsidR="001057B2" w:rsidRPr="00D47DA1" w:rsidRDefault="0060523D" w:rsidP="001057B2">
            <w:pPr>
              <w:widowControl/>
              <w:spacing w:after="120"/>
              <w:ind w:firstLine="720"/>
              <w:contextualSpacing/>
              <w:jc w:val="both"/>
              <w:rPr>
                <w:rFonts w:ascii="Times New Roman" w:hAnsi="Times New Roman"/>
                <w:sz w:val="28"/>
                <w:szCs w:val="28"/>
                <w:lang w:val="en-GB"/>
              </w:rPr>
            </w:pPr>
            <w:r w:rsidRPr="00D47DA1">
              <w:rPr>
                <w:rFonts w:ascii="Times New Roman" w:hAnsi="Times New Roman"/>
                <w:sz w:val="28"/>
                <w:szCs w:val="28"/>
                <w:lang w:val="en-GB"/>
              </w:rPr>
              <w:t xml:space="preserve">712, 50 </w:t>
            </w:r>
            <w:r w:rsidRPr="00D47DA1">
              <w:rPr>
                <w:rFonts w:ascii="Times New Roman" w:hAnsi="Times New Roman"/>
                <w:i/>
                <w:iCs/>
                <w:sz w:val="28"/>
                <w:szCs w:val="28"/>
                <w:lang w:val="en-GB"/>
              </w:rPr>
              <w:t>euro</w:t>
            </w:r>
          </w:p>
        </w:tc>
        <w:tc>
          <w:tcPr>
            <w:tcW w:w="1418" w:type="dxa"/>
            <w:shd w:val="clear" w:color="auto" w:fill="auto"/>
          </w:tcPr>
          <w:p w:rsidR="001057B2" w:rsidRPr="00D47DA1" w:rsidRDefault="0060523D" w:rsidP="001057B2">
            <w:pPr>
              <w:widowControl/>
              <w:spacing w:after="120"/>
              <w:contextualSpacing/>
              <w:jc w:val="both"/>
              <w:rPr>
                <w:rFonts w:ascii="Times New Roman" w:hAnsi="Times New Roman"/>
                <w:sz w:val="28"/>
                <w:szCs w:val="28"/>
                <w:lang w:val="en-GB"/>
              </w:rPr>
            </w:pPr>
            <w:r w:rsidRPr="00D47DA1">
              <w:rPr>
                <w:rFonts w:ascii="Times New Roman" w:hAnsi="Times New Roman"/>
                <w:sz w:val="28"/>
                <w:szCs w:val="28"/>
                <w:lang w:val="en-GB"/>
              </w:rPr>
              <w:t xml:space="preserve">600 </w:t>
            </w:r>
            <w:r w:rsidRPr="00D47DA1">
              <w:rPr>
                <w:rFonts w:ascii="Times New Roman" w:hAnsi="Times New Roman"/>
                <w:i/>
                <w:iCs/>
                <w:sz w:val="28"/>
                <w:szCs w:val="28"/>
                <w:lang w:val="en-GB"/>
              </w:rPr>
              <w:t>euro</w:t>
            </w:r>
          </w:p>
        </w:tc>
        <w:tc>
          <w:tcPr>
            <w:tcW w:w="1701" w:type="dxa"/>
            <w:shd w:val="clear" w:color="auto" w:fill="auto"/>
          </w:tcPr>
          <w:p w:rsidR="001057B2" w:rsidRPr="00D35948" w:rsidRDefault="0060523D" w:rsidP="001057B2">
            <w:pPr>
              <w:widowControl/>
              <w:spacing w:after="120"/>
              <w:contextualSpacing/>
              <w:jc w:val="both"/>
              <w:rPr>
                <w:rFonts w:ascii="Times New Roman" w:hAnsi="Times New Roman"/>
                <w:sz w:val="28"/>
                <w:szCs w:val="28"/>
                <w:lang w:val="en-GB"/>
              </w:rPr>
            </w:pPr>
            <w:r w:rsidRPr="00D47DA1">
              <w:rPr>
                <w:rFonts w:ascii="Times New Roman" w:hAnsi="Times New Roman"/>
                <w:sz w:val="28"/>
                <w:szCs w:val="28"/>
                <w:lang w:val="en-GB"/>
              </w:rPr>
              <w:t xml:space="preserve"> 1200 </w:t>
            </w:r>
            <w:r w:rsidRPr="00D47DA1">
              <w:rPr>
                <w:rFonts w:ascii="Times New Roman" w:hAnsi="Times New Roman"/>
                <w:i/>
                <w:iCs/>
                <w:sz w:val="28"/>
                <w:szCs w:val="28"/>
                <w:lang w:val="en-GB"/>
              </w:rPr>
              <w:t>euro</w:t>
            </w:r>
          </w:p>
        </w:tc>
      </w:tr>
    </w:tbl>
    <w:p w:rsidR="001057B2" w:rsidRPr="000B7D81" w:rsidRDefault="001057B2" w:rsidP="001057B2">
      <w:pPr>
        <w:widowControl/>
        <w:spacing w:after="120"/>
        <w:ind w:firstLine="720"/>
        <w:contextualSpacing/>
        <w:jc w:val="both"/>
        <w:rPr>
          <w:rFonts w:ascii="Times New Roman" w:hAnsi="Times New Roman"/>
          <w:sz w:val="28"/>
          <w:szCs w:val="28"/>
          <w:lang w:val="lv-LV"/>
        </w:rPr>
      </w:pPr>
    </w:p>
    <w:p w:rsidR="001057B2" w:rsidRPr="00D35948" w:rsidRDefault="0060523D" w:rsidP="001057B2">
      <w:pPr>
        <w:spacing w:after="0"/>
        <w:ind w:firstLine="720"/>
        <w:jc w:val="both"/>
        <w:rPr>
          <w:rFonts w:ascii="Times New Roman" w:hAnsi="Times New Roman"/>
          <w:sz w:val="28"/>
          <w:szCs w:val="28"/>
          <w:lang w:val="lv-LV"/>
        </w:rPr>
      </w:pPr>
      <w:r w:rsidRPr="00D35948">
        <w:rPr>
          <w:rFonts w:ascii="Times New Roman" w:hAnsi="Times New Roman"/>
          <w:sz w:val="28"/>
          <w:szCs w:val="28"/>
          <w:lang w:val="lv-LV"/>
        </w:rPr>
        <w:t>Sociālo</w:t>
      </w:r>
      <w:r w:rsidRPr="00D35948">
        <w:rPr>
          <w:rFonts w:ascii="Times New Roman" w:hAnsi="Times New Roman"/>
          <w:sz w:val="28"/>
          <w:szCs w:val="28"/>
          <w:lang w:val="lv-LV"/>
        </w:rPr>
        <w:t xml:space="preserve"> palīdzību klientam sniedz</w:t>
      </w:r>
      <w:r>
        <w:rPr>
          <w:rFonts w:ascii="Times New Roman" w:hAnsi="Times New Roman"/>
          <w:sz w:val="28"/>
          <w:szCs w:val="28"/>
          <w:lang w:val="lv-LV"/>
        </w:rPr>
        <w:t>,</w:t>
      </w:r>
      <w:r w:rsidRPr="00D35948">
        <w:rPr>
          <w:rFonts w:ascii="Times New Roman" w:hAnsi="Times New Roman"/>
          <w:sz w:val="28"/>
          <w:szCs w:val="28"/>
          <w:lang w:val="lv-LV"/>
        </w:rPr>
        <w:t xml:space="preserve"> pamatojoties uz viņa materiālo resursu — ienākumu un īpašuma — </w:t>
      </w:r>
      <w:proofErr w:type="spellStart"/>
      <w:r w:rsidRPr="00D35948">
        <w:rPr>
          <w:rFonts w:ascii="Times New Roman" w:hAnsi="Times New Roman"/>
          <w:sz w:val="28"/>
          <w:szCs w:val="28"/>
          <w:lang w:val="lv-LV"/>
        </w:rPr>
        <w:t>izvērtējumu</w:t>
      </w:r>
      <w:proofErr w:type="spellEnd"/>
      <w:r w:rsidRPr="00D35948">
        <w:rPr>
          <w:rFonts w:ascii="Times New Roman" w:hAnsi="Times New Roman"/>
          <w:sz w:val="28"/>
          <w:szCs w:val="28"/>
          <w:lang w:val="lv-LV"/>
        </w:rPr>
        <w:t xml:space="preserve">. Ienākumus un materiālo stāvokli vērtē atbilstoši </w:t>
      </w:r>
      <w:r w:rsidRPr="000B7D81">
        <w:rPr>
          <w:rFonts w:ascii="Times New Roman" w:hAnsi="Times New Roman"/>
          <w:sz w:val="28"/>
          <w:szCs w:val="28"/>
          <w:lang w:val="lv-LV"/>
        </w:rPr>
        <w:t>SPSP likum</w:t>
      </w:r>
      <w:r>
        <w:rPr>
          <w:rFonts w:ascii="Times New Roman" w:hAnsi="Times New Roman"/>
          <w:sz w:val="28"/>
          <w:szCs w:val="28"/>
          <w:lang w:val="lv-LV"/>
        </w:rPr>
        <w:t>ā</w:t>
      </w:r>
      <w:r w:rsidRPr="000B7D81">
        <w:rPr>
          <w:rFonts w:ascii="Times New Roman" w:hAnsi="Times New Roman"/>
          <w:sz w:val="28"/>
          <w:szCs w:val="28"/>
          <w:lang w:val="lv-LV"/>
        </w:rPr>
        <w:t xml:space="preserve"> </w:t>
      </w:r>
      <w:r w:rsidRPr="00D35948">
        <w:rPr>
          <w:rFonts w:ascii="Times New Roman" w:hAnsi="Times New Roman"/>
          <w:sz w:val="28"/>
          <w:szCs w:val="28"/>
          <w:lang w:val="lv-LV"/>
        </w:rPr>
        <w:t>noteiktiem nosacījumiem</w:t>
      </w:r>
      <w:r>
        <w:rPr>
          <w:rStyle w:val="FootnoteReference"/>
          <w:rFonts w:ascii="Times New Roman" w:hAnsi="Times New Roman"/>
          <w:sz w:val="28"/>
          <w:szCs w:val="28"/>
          <w:lang w:val="lv-LV"/>
        </w:rPr>
        <w:footnoteReference w:id="6"/>
      </w:r>
      <w:r>
        <w:rPr>
          <w:rFonts w:ascii="Times New Roman" w:hAnsi="Times New Roman"/>
          <w:sz w:val="28"/>
          <w:szCs w:val="28"/>
          <w:lang w:val="lv-LV"/>
        </w:rPr>
        <w:t xml:space="preserve">. </w:t>
      </w:r>
      <w:r w:rsidRPr="00D35948">
        <w:rPr>
          <w:rFonts w:ascii="Times New Roman" w:hAnsi="Times New Roman"/>
          <w:sz w:val="28"/>
          <w:szCs w:val="28"/>
          <w:lang w:val="lv-LV"/>
        </w:rPr>
        <w:t xml:space="preserve">Vērtējot ienākumus, viens no nosacījumiem </w:t>
      </w:r>
      <w:r>
        <w:rPr>
          <w:rFonts w:ascii="Times New Roman" w:hAnsi="Times New Roman"/>
          <w:sz w:val="28"/>
          <w:szCs w:val="28"/>
          <w:lang w:val="lv-LV"/>
        </w:rPr>
        <w:t xml:space="preserve">attiecībā uz vērā neņemamajiem </w:t>
      </w:r>
      <w:r w:rsidRPr="00D35948">
        <w:rPr>
          <w:rFonts w:ascii="Times New Roman" w:hAnsi="Times New Roman"/>
          <w:sz w:val="28"/>
          <w:szCs w:val="28"/>
          <w:lang w:val="lv-LV"/>
        </w:rPr>
        <w:t xml:space="preserve">ienākumiem </w:t>
      </w:r>
      <w:r>
        <w:rPr>
          <w:rFonts w:ascii="Times New Roman" w:hAnsi="Times New Roman"/>
          <w:sz w:val="28"/>
          <w:szCs w:val="28"/>
          <w:lang w:val="lv-LV"/>
        </w:rPr>
        <w:t>ir</w:t>
      </w:r>
      <w:r w:rsidRPr="00D35948">
        <w:rPr>
          <w:rFonts w:ascii="Times New Roman" w:hAnsi="Times New Roman"/>
          <w:sz w:val="28"/>
          <w:szCs w:val="28"/>
          <w:lang w:val="lv-LV"/>
        </w:rPr>
        <w:t xml:space="preserve"> vienīgā mājokļa iegādei piešķirtā kredīta pamatsumm</w:t>
      </w:r>
      <w:r>
        <w:rPr>
          <w:rFonts w:ascii="Times New Roman" w:hAnsi="Times New Roman"/>
          <w:sz w:val="28"/>
          <w:szCs w:val="28"/>
          <w:lang w:val="lv-LV"/>
        </w:rPr>
        <w:t>a</w:t>
      </w:r>
      <w:r w:rsidRPr="00D35948">
        <w:rPr>
          <w:rFonts w:ascii="Times New Roman" w:hAnsi="Times New Roman"/>
          <w:sz w:val="28"/>
          <w:szCs w:val="28"/>
          <w:lang w:val="lv-LV"/>
        </w:rPr>
        <w:t xml:space="preserve"> un procentu maksājum</w:t>
      </w:r>
      <w:r>
        <w:rPr>
          <w:rFonts w:ascii="Times New Roman" w:hAnsi="Times New Roman"/>
          <w:sz w:val="28"/>
          <w:szCs w:val="28"/>
          <w:lang w:val="lv-LV"/>
        </w:rPr>
        <w:t>s</w:t>
      </w:r>
      <w:r w:rsidRPr="00D35948">
        <w:rPr>
          <w:rFonts w:ascii="Times New Roman" w:hAnsi="Times New Roman"/>
          <w:sz w:val="28"/>
          <w:szCs w:val="28"/>
          <w:lang w:val="lv-LV"/>
        </w:rPr>
        <w:t>. Tas nozīmē, ka sociālais dienests, aprēķinot mājsaimniecības vidējos ienākumus, tos samazina par ikmēneša izdevumiem vienīgā mājokļa kr</w:t>
      </w:r>
      <w:r w:rsidRPr="00D35948">
        <w:rPr>
          <w:rFonts w:ascii="Times New Roman" w:hAnsi="Times New Roman"/>
          <w:sz w:val="28"/>
          <w:szCs w:val="28"/>
          <w:lang w:val="lv-LV"/>
        </w:rPr>
        <w:t>edīta pamatsummas un procentu maksājumu veikšanai</w:t>
      </w:r>
      <w:r>
        <w:rPr>
          <w:rFonts w:ascii="Times New Roman" w:hAnsi="Times New Roman"/>
          <w:sz w:val="28"/>
          <w:szCs w:val="28"/>
          <w:lang w:val="lv-LV"/>
        </w:rPr>
        <w:t xml:space="preserve">. </w:t>
      </w:r>
      <w:r w:rsidRPr="00E10B30">
        <w:rPr>
          <w:rFonts w:ascii="Times New Roman" w:hAnsi="Times New Roman"/>
          <w:sz w:val="28"/>
          <w:szCs w:val="28"/>
          <w:lang w:val="lv-LV"/>
        </w:rPr>
        <w:t xml:space="preserve">Iepriekš minētā piemērā, ja ģimene būtu hipotekārā kredīta </w:t>
      </w:r>
      <w:r w:rsidRPr="00E10B30">
        <w:rPr>
          <w:rFonts w:ascii="Times New Roman" w:hAnsi="Times New Roman"/>
          <w:sz w:val="28"/>
          <w:szCs w:val="28"/>
          <w:lang w:val="lv-LV"/>
        </w:rPr>
        <w:lastRenderedPageBreak/>
        <w:t>maksātāji, maksājot, piemēram</w:t>
      </w:r>
      <w:r>
        <w:rPr>
          <w:rFonts w:ascii="Times New Roman" w:hAnsi="Times New Roman"/>
          <w:sz w:val="28"/>
          <w:szCs w:val="28"/>
          <w:lang w:val="lv-LV"/>
        </w:rPr>
        <w:t>,</w:t>
      </w:r>
      <w:r w:rsidRPr="00E10B30">
        <w:rPr>
          <w:rFonts w:ascii="Times New Roman" w:hAnsi="Times New Roman"/>
          <w:sz w:val="28"/>
          <w:szCs w:val="28"/>
          <w:lang w:val="lv-LV"/>
        </w:rPr>
        <w:t xml:space="preserve"> 300 </w:t>
      </w:r>
      <w:proofErr w:type="spellStart"/>
      <w:r w:rsidRPr="00E10B30">
        <w:rPr>
          <w:rFonts w:ascii="Times New Roman" w:hAnsi="Times New Roman"/>
          <w:i/>
          <w:sz w:val="28"/>
          <w:szCs w:val="28"/>
          <w:lang w:val="lv-LV"/>
        </w:rPr>
        <w:t>euro</w:t>
      </w:r>
      <w:proofErr w:type="spellEnd"/>
      <w:r w:rsidRPr="00E10B30">
        <w:rPr>
          <w:rFonts w:ascii="Times New Roman" w:hAnsi="Times New Roman"/>
          <w:sz w:val="28"/>
          <w:szCs w:val="28"/>
          <w:lang w:val="lv-LV"/>
        </w:rPr>
        <w:t xml:space="preserve"> ikmēneša maksājumu (kredīta pamatsumma un procentu maksājumi), ģimenes ienākumi pie izvērtēšanas tiktu sam</w:t>
      </w:r>
      <w:r w:rsidRPr="00E10B30">
        <w:rPr>
          <w:rFonts w:ascii="Times New Roman" w:hAnsi="Times New Roman"/>
          <w:sz w:val="28"/>
          <w:szCs w:val="28"/>
          <w:lang w:val="lv-LV"/>
        </w:rPr>
        <w:t xml:space="preserve">azināti par 300 </w:t>
      </w:r>
      <w:proofErr w:type="spellStart"/>
      <w:r w:rsidRPr="00E10B30">
        <w:rPr>
          <w:rFonts w:ascii="Times New Roman" w:hAnsi="Times New Roman"/>
          <w:i/>
          <w:sz w:val="28"/>
          <w:szCs w:val="28"/>
          <w:lang w:val="lv-LV"/>
        </w:rPr>
        <w:t>euro</w:t>
      </w:r>
      <w:proofErr w:type="spellEnd"/>
      <w:r>
        <w:rPr>
          <w:rFonts w:ascii="Times New Roman" w:hAnsi="Times New Roman"/>
          <w:i/>
          <w:sz w:val="28"/>
          <w:szCs w:val="28"/>
          <w:lang w:val="lv-LV"/>
        </w:rPr>
        <w:t>,</w:t>
      </w:r>
      <w:r w:rsidRPr="00E10B30">
        <w:rPr>
          <w:rFonts w:ascii="Times New Roman" w:hAnsi="Times New Roman"/>
          <w:sz w:val="28"/>
          <w:szCs w:val="28"/>
          <w:lang w:val="lv-LV"/>
        </w:rPr>
        <w:t xml:space="preserve"> līdz ar to arī mājokļa pabalsts būtu par 300 </w:t>
      </w:r>
      <w:proofErr w:type="spellStart"/>
      <w:r w:rsidRPr="00E10B30">
        <w:rPr>
          <w:rFonts w:ascii="Times New Roman" w:hAnsi="Times New Roman"/>
          <w:i/>
          <w:sz w:val="28"/>
          <w:szCs w:val="28"/>
          <w:lang w:val="lv-LV"/>
        </w:rPr>
        <w:t>euro</w:t>
      </w:r>
      <w:proofErr w:type="spellEnd"/>
      <w:r w:rsidRPr="00E10B30">
        <w:rPr>
          <w:rFonts w:ascii="Times New Roman" w:hAnsi="Times New Roman"/>
          <w:sz w:val="28"/>
          <w:szCs w:val="28"/>
          <w:lang w:val="lv-LV"/>
        </w:rPr>
        <w:t xml:space="preserve"> lielāks.</w:t>
      </w:r>
      <w:r>
        <w:rPr>
          <w:rFonts w:ascii="Times New Roman" w:hAnsi="Times New Roman"/>
          <w:sz w:val="28"/>
          <w:szCs w:val="28"/>
          <w:lang w:val="lv-LV"/>
        </w:rPr>
        <w:t xml:space="preserve"> </w:t>
      </w:r>
      <w:r w:rsidRPr="00283420">
        <w:rPr>
          <w:rFonts w:ascii="Times New Roman" w:hAnsi="Times New Roman"/>
          <w:sz w:val="28"/>
          <w:szCs w:val="28"/>
          <w:lang w:val="lv-LV"/>
        </w:rPr>
        <w:t xml:space="preserve">Tāpat ienākumu </w:t>
      </w:r>
      <w:proofErr w:type="spellStart"/>
      <w:r w:rsidRPr="00283420">
        <w:rPr>
          <w:rFonts w:ascii="Times New Roman" w:hAnsi="Times New Roman"/>
          <w:sz w:val="28"/>
          <w:szCs w:val="28"/>
          <w:lang w:val="lv-LV"/>
        </w:rPr>
        <w:t>izvērtējumā</w:t>
      </w:r>
      <w:proofErr w:type="spellEnd"/>
      <w:r w:rsidRPr="00283420">
        <w:rPr>
          <w:rFonts w:ascii="Times New Roman" w:hAnsi="Times New Roman"/>
          <w:sz w:val="28"/>
          <w:szCs w:val="28"/>
          <w:lang w:val="lv-LV"/>
        </w:rPr>
        <w:t xml:space="preserve"> neņem vērā arī ģimenes valsts pabalstu, kas par trīs bērniem ir 225 </w:t>
      </w:r>
      <w:proofErr w:type="spellStart"/>
      <w:r w:rsidRPr="00283420">
        <w:rPr>
          <w:rFonts w:ascii="Times New Roman" w:hAnsi="Times New Roman"/>
          <w:i/>
          <w:sz w:val="28"/>
          <w:szCs w:val="28"/>
          <w:lang w:val="lv-LV"/>
        </w:rPr>
        <w:t>euro</w:t>
      </w:r>
      <w:proofErr w:type="spellEnd"/>
      <w:r w:rsidRPr="00283420">
        <w:rPr>
          <w:rFonts w:ascii="Times New Roman" w:hAnsi="Times New Roman"/>
          <w:sz w:val="28"/>
          <w:szCs w:val="28"/>
          <w:lang w:val="lv-LV"/>
        </w:rPr>
        <w:t xml:space="preserve"> mēnesī. Attiecīgi, ja ģimene kvalificējās GMI pabalstam, tad ģimenes valsts</w:t>
      </w:r>
      <w:r w:rsidRPr="00283420">
        <w:rPr>
          <w:rFonts w:ascii="Times New Roman" w:hAnsi="Times New Roman"/>
          <w:sz w:val="28"/>
          <w:szCs w:val="28"/>
          <w:lang w:val="lv-LV"/>
        </w:rPr>
        <w:t xml:space="preserve"> pabalsts papildus GMI pabalstam paliek ģimeņu ar bērniem rīcībā. Ja ģimenē ir bērns ar invaliditāti, par kuru tiek saņemts bērna ar invaliditāti kopšanas pabalsts 313,43 </w:t>
      </w:r>
      <w:proofErr w:type="spellStart"/>
      <w:r w:rsidRPr="00283420">
        <w:rPr>
          <w:rFonts w:ascii="Times New Roman" w:hAnsi="Times New Roman"/>
          <w:i/>
          <w:sz w:val="28"/>
          <w:szCs w:val="28"/>
          <w:lang w:val="lv-LV"/>
        </w:rPr>
        <w:t>euro</w:t>
      </w:r>
      <w:proofErr w:type="spellEnd"/>
      <w:r w:rsidRPr="00283420">
        <w:rPr>
          <w:rFonts w:ascii="Times New Roman" w:hAnsi="Times New Roman"/>
          <w:sz w:val="28"/>
          <w:szCs w:val="28"/>
          <w:lang w:val="lv-LV"/>
        </w:rPr>
        <w:t xml:space="preserve"> apmērā, arī šo pabalstu un vairākus citus ar invaliditāti saistītus pakalpojumus</w:t>
      </w:r>
      <w:r w:rsidRPr="00283420">
        <w:rPr>
          <w:rFonts w:ascii="Times New Roman" w:hAnsi="Times New Roman"/>
          <w:sz w:val="28"/>
          <w:szCs w:val="28"/>
          <w:lang w:val="lv-LV"/>
        </w:rPr>
        <w:t xml:space="preserve"> un pabalstus neņem vērā, novērtējot ģimenes ienākumus, proti, tie paliek ģimenes rīcībā.</w:t>
      </w:r>
    </w:p>
    <w:p w:rsidR="001057B2" w:rsidRPr="00D35948" w:rsidRDefault="0060523D" w:rsidP="001057B2">
      <w:pPr>
        <w:widowControl/>
        <w:spacing w:after="120"/>
        <w:ind w:firstLine="720"/>
        <w:contextualSpacing/>
        <w:jc w:val="both"/>
        <w:rPr>
          <w:rFonts w:ascii="Times New Roman" w:hAnsi="Times New Roman"/>
          <w:sz w:val="28"/>
          <w:szCs w:val="28"/>
          <w:lang w:val="lv-LV"/>
        </w:rPr>
      </w:pPr>
      <w:r>
        <w:rPr>
          <w:rFonts w:ascii="Times New Roman" w:hAnsi="Times New Roman"/>
          <w:sz w:val="28"/>
          <w:szCs w:val="28"/>
          <w:lang w:val="lv-LV"/>
        </w:rPr>
        <w:t>Lai pēc iespējas plašākam iedzīvotāju lokam sniegtu nepieciešamo atbalstu, l</w:t>
      </w:r>
      <w:r w:rsidRPr="00D35948">
        <w:rPr>
          <w:rFonts w:ascii="Times New Roman" w:hAnsi="Times New Roman"/>
          <w:sz w:val="28"/>
          <w:szCs w:val="28"/>
          <w:lang w:val="lv-LV"/>
        </w:rPr>
        <w:t>ikuma “Par sociālo drošību” 2</w:t>
      </w:r>
      <w:r w:rsidRPr="00D35948">
        <w:rPr>
          <w:rFonts w:ascii="Times New Roman" w:hAnsi="Times New Roman"/>
          <w:sz w:val="28"/>
          <w:szCs w:val="28"/>
          <w:vertAlign w:val="superscript"/>
          <w:lang w:val="lv-LV"/>
        </w:rPr>
        <w:t>2</w:t>
      </w:r>
      <w:r w:rsidRPr="00D35948">
        <w:rPr>
          <w:rFonts w:ascii="Times New Roman" w:hAnsi="Times New Roman"/>
          <w:sz w:val="28"/>
          <w:szCs w:val="28"/>
          <w:lang w:val="lv-LV"/>
        </w:rPr>
        <w:t>. pants nosaka, ka minimālo ienākumu sliekšņus pārskata vien</w:t>
      </w:r>
      <w:r w:rsidRPr="00D35948">
        <w:rPr>
          <w:rFonts w:ascii="Times New Roman" w:hAnsi="Times New Roman"/>
          <w:sz w:val="28"/>
          <w:szCs w:val="28"/>
          <w:lang w:val="lv-LV"/>
        </w:rPr>
        <w:t>laikus katru gadu 1. janvārī, ņemot vērā aktuālo ienākumu mediānu. Tas nozīmē, ka</w:t>
      </w:r>
      <w:r>
        <w:rPr>
          <w:rFonts w:ascii="Times New Roman" w:hAnsi="Times New Roman"/>
          <w:sz w:val="28"/>
          <w:szCs w:val="28"/>
          <w:lang w:val="lv-LV"/>
        </w:rPr>
        <w:t>,</w:t>
      </w:r>
      <w:r w:rsidRPr="00D35948">
        <w:rPr>
          <w:rFonts w:ascii="Times New Roman" w:hAnsi="Times New Roman"/>
          <w:sz w:val="28"/>
          <w:szCs w:val="28"/>
          <w:lang w:val="lv-LV"/>
        </w:rPr>
        <w:t xml:space="preserve"> pieaugot ienākumu mediānai</w:t>
      </w:r>
      <w:r>
        <w:rPr>
          <w:rFonts w:ascii="Times New Roman" w:hAnsi="Times New Roman"/>
          <w:sz w:val="28"/>
          <w:szCs w:val="28"/>
          <w:lang w:val="lv-LV"/>
        </w:rPr>
        <w:t>,</w:t>
      </w:r>
      <w:r w:rsidRPr="00D35948">
        <w:rPr>
          <w:rFonts w:ascii="Times New Roman" w:hAnsi="Times New Roman"/>
          <w:sz w:val="28"/>
          <w:szCs w:val="28"/>
          <w:lang w:val="lv-LV"/>
        </w:rPr>
        <w:t xml:space="preserve"> pieaugs arī </w:t>
      </w:r>
      <w:r>
        <w:rPr>
          <w:rFonts w:ascii="Times New Roman" w:hAnsi="Times New Roman"/>
          <w:sz w:val="28"/>
          <w:szCs w:val="28"/>
          <w:lang w:val="lv-LV"/>
        </w:rPr>
        <w:t>GMI</w:t>
      </w:r>
      <w:r w:rsidRPr="00D35948">
        <w:rPr>
          <w:rFonts w:ascii="Times New Roman" w:hAnsi="Times New Roman"/>
          <w:sz w:val="28"/>
          <w:szCs w:val="28"/>
          <w:lang w:val="lv-LV"/>
        </w:rPr>
        <w:t xml:space="preserve"> slieksnis, kas savukārt paplašinās mājokļa pabalsta saņēmēju loku. </w:t>
      </w:r>
      <w:r>
        <w:rPr>
          <w:rFonts w:ascii="Times New Roman" w:hAnsi="Times New Roman"/>
          <w:sz w:val="28"/>
          <w:szCs w:val="28"/>
          <w:lang w:val="lv-LV"/>
        </w:rPr>
        <w:t xml:space="preserve">Ņemot vērā minēto, ministrija uzskata, ka sociālās palīdzības </w:t>
      </w:r>
      <w:r>
        <w:rPr>
          <w:rFonts w:ascii="Times New Roman" w:hAnsi="Times New Roman"/>
          <w:sz w:val="28"/>
          <w:szCs w:val="28"/>
          <w:lang w:val="lv-LV"/>
        </w:rPr>
        <w:t>ietvaros sniegtais mājokļa pabalsts ir atbilstoši mērķēts zemu ienākumu mājsaimniecībām. Paplašinot mērķa grupu ar mājsaimniecībām, kurām ir vidēji ienākumi, tas vairs neatbilstu sociālās palīdzības mērķim.</w:t>
      </w:r>
    </w:p>
    <w:p w:rsidR="001057B2" w:rsidRPr="00CF6852" w:rsidRDefault="0060523D" w:rsidP="001057B2">
      <w:pPr>
        <w:widowControl/>
        <w:spacing w:after="120"/>
        <w:ind w:firstLine="720"/>
        <w:contextualSpacing/>
        <w:jc w:val="both"/>
        <w:rPr>
          <w:rFonts w:ascii="Times New Roman" w:eastAsia="Times New Roman" w:hAnsi="Times New Roman"/>
          <w:sz w:val="28"/>
          <w:szCs w:val="28"/>
          <w:lang w:val="lv-LV"/>
        </w:rPr>
      </w:pPr>
      <w:r w:rsidRPr="00D35948">
        <w:rPr>
          <w:rFonts w:ascii="Times New Roman" w:hAnsi="Times New Roman"/>
          <w:sz w:val="28"/>
          <w:szCs w:val="28"/>
          <w:lang w:val="lv-LV"/>
        </w:rPr>
        <w:t>Vienlaikus informējam, ka daudzbērnu ģimenēm, kā arī trūcīgām un maznodrošinātām ģimenēm ir pieejams valsts atbalsts elektroenerģijas izmaksu daļējai kompensēšanai, ko nosaka Ministru kabineta 2021. gada 1. jūnija noteikumi Nr. 345 “Aizsargātā lietotāja ti</w:t>
      </w:r>
      <w:r w:rsidRPr="00D35948">
        <w:rPr>
          <w:rFonts w:ascii="Times New Roman" w:hAnsi="Times New Roman"/>
          <w:sz w:val="28"/>
          <w:szCs w:val="28"/>
          <w:lang w:val="lv-LV"/>
        </w:rPr>
        <w:t xml:space="preserve">rdzniecības pakalpojuma noteikumi” (turpmāk – Noteikumi Nr. 345). Š.g. 22. augustā Noteikumi Nr. 345 tika grozīti, palielinot aizsargātajiem lietotājiem pieejamo atbalstu elektroenerģijas izmaksu daļējai kompensēšanai </w:t>
      </w:r>
      <w:r>
        <w:rPr>
          <w:rFonts w:ascii="Times New Roman" w:hAnsi="Times New Roman"/>
          <w:sz w:val="28"/>
          <w:szCs w:val="28"/>
          <w:lang w:val="lv-LV"/>
        </w:rPr>
        <w:t xml:space="preserve">līdz </w:t>
      </w:r>
      <w:r w:rsidRPr="00D35948">
        <w:rPr>
          <w:rFonts w:ascii="Times New Roman" w:hAnsi="Times New Roman"/>
          <w:sz w:val="28"/>
          <w:szCs w:val="28"/>
          <w:lang w:val="lv-LV"/>
        </w:rPr>
        <w:t xml:space="preserve">20 </w:t>
      </w:r>
      <w:proofErr w:type="spellStart"/>
      <w:r w:rsidRPr="00C67CF2">
        <w:rPr>
          <w:rFonts w:ascii="Times New Roman" w:hAnsi="Times New Roman"/>
          <w:i/>
          <w:sz w:val="28"/>
          <w:szCs w:val="28"/>
          <w:lang w:val="lv-LV"/>
        </w:rPr>
        <w:t>euro</w:t>
      </w:r>
      <w:proofErr w:type="spellEnd"/>
      <w:r w:rsidRPr="00D35948">
        <w:rPr>
          <w:rFonts w:ascii="Times New Roman" w:hAnsi="Times New Roman"/>
          <w:sz w:val="28"/>
          <w:szCs w:val="28"/>
          <w:lang w:val="lv-LV"/>
        </w:rPr>
        <w:t xml:space="preserve"> trūcīgām un maznodrošināt</w:t>
      </w:r>
      <w:r w:rsidRPr="00D35948">
        <w:rPr>
          <w:rFonts w:ascii="Times New Roman" w:hAnsi="Times New Roman"/>
          <w:sz w:val="28"/>
          <w:szCs w:val="28"/>
          <w:lang w:val="lv-LV"/>
        </w:rPr>
        <w:t xml:space="preserve">ām personām un 25 </w:t>
      </w:r>
      <w:proofErr w:type="spellStart"/>
      <w:r w:rsidRPr="00C67CF2">
        <w:rPr>
          <w:rFonts w:ascii="Times New Roman" w:hAnsi="Times New Roman"/>
          <w:i/>
          <w:sz w:val="28"/>
          <w:szCs w:val="28"/>
          <w:lang w:val="lv-LV"/>
        </w:rPr>
        <w:t>euro</w:t>
      </w:r>
      <w:proofErr w:type="spellEnd"/>
      <w:r w:rsidRPr="00C67CF2">
        <w:rPr>
          <w:rFonts w:ascii="Times New Roman" w:hAnsi="Times New Roman"/>
          <w:i/>
          <w:sz w:val="28"/>
          <w:szCs w:val="28"/>
          <w:lang w:val="lv-LV"/>
        </w:rPr>
        <w:t xml:space="preserve"> </w:t>
      </w:r>
      <w:r w:rsidRPr="00D35948">
        <w:rPr>
          <w:rFonts w:ascii="Times New Roman" w:hAnsi="Times New Roman"/>
          <w:sz w:val="28"/>
          <w:szCs w:val="28"/>
          <w:lang w:val="lv-LV"/>
        </w:rPr>
        <w:t>daudzbērnu ģimenēm. Tai pat laikā n</w:t>
      </w:r>
      <w:r w:rsidRPr="00D35948">
        <w:rPr>
          <w:rFonts w:ascii="Times New Roman" w:eastAsia="Times New Roman" w:hAnsi="Times New Roman"/>
          <w:sz w:val="28"/>
          <w:szCs w:val="28"/>
          <w:lang w:val="lv-LV"/>
        </w:rPr>
        <w:t>o 2023. gada 1. jūlija spēkā stājās izmaiņas minimālo ienākumu sliekšņu noteikšanā, kā rezultātā trūcīgo un maznodrošināto mājsaimniecību ienākumu sliekšņi turpmāk mainīsies katru gadu. Attiecīgi no</w:t>
      </w:r>
      <w:r w:rsidRPr="00D35948">
        <w:rPr>
          <w:rFonts w:ascii="Times New Roman" w:eastAsia="Times New Roman" w:hAnsi="Times New Roman"/>
          <w:sz w:val="28"/>
          <w:szCs w:val="28"/>
          <w:lang w:val="lv-LV"/>
        </w:rPr>
        <w:t xml:space="preserve"> 2023. gada 1. jūlija trūcīgas mājsaimniecības ienākumu slieksnis ir 313 </w:t>
      </w:r>
      <w:proofErr w:type="spellStart"/>
      <w:r w:rsidRPr="00C67CF2">
        <w:rPr>
          <w:rFonts w:ascii="Times New Roman" w:eastAsia="Times New Roman" w:hAnsi="Times New Roman"/>
          <w:i/>
          <w:sz w:val="28"/>
          <w:szCs w:val="28"/>
          <w:lang w:val="lv-LV"/>
        </w:rPr>
        <w:t>euro</w:t>
      </w:r>
      <w:proofErr w:type="spellEnd"/>
      <w:r w:rsidRPr="00C67CF2">
        <w:rPr>
          <w:rFonts w:ascii="Times New Roman" w:eastAsia="Times New Roman" w:hAnsi="Times New Roman"/>
          <w:i/>
          <w:sz w:val="28"/>
          <w:szCs w:val="28"/>
          <w:lang w:val="lv-LV"/>
        </w:rPr>
        <w:t xml:space="preserve"> </w:t>
      </w:r>
      <w:r w:rsidRPr="00D35948">
        <w:rPr>
          <w:rFonts w:ascii="Times New Roman" w:eastAsia="Times New Roman" w:hAnsi="Times New Roman"/>
          <w:sz w:val="28"/>
          <w:szCs w:val="28"/>
          <w:lang w:val="lv-LV"/>
        </w:rPr>
        <w:t xml:space="preserve">pirmajai vai vienīgajai personai mājsaimniecībā un 219 </w:t>
      </w:r>
      <w:proofErr w:type="spellStart"/>
      <w:r w:rsidRPr="00C67CF2">
        <w:rPr>
          <w:rFonts w:ascii="Times New Roman" w:eastAsia="Times New Roman" w:hAnsi="Times New Roman"/>
          <w:i/>
          <w:sz w:val="28"/>
          <w:szCs w:val="28"/>
          <w:lang w:val="lv-LV"/>
        </w:rPr>
        <w:t>euro</w:t>
      </w:r>
      <w:proofErr w:type="spellEnd"/>
      <w:r w:rsidRPr="00D35948">
        <w:rPr>
          <w:rFonts w:ascii="Times New Roman" w:eastAsia="Times New Roman" w:hAnsi="Times New Roman"/>
          <w:sz w:val="28"/>
          <w:szCs w:val="28"/>
          <w:lang w:val="lv-LV"/>
        </w:rPr>
        <w:t xml:space="preserve"> pārējām personām mājsaimniecībā, savukārt no 2024. gada 1. janvāra minētie apmēri būs attiecīgi 343 </w:t>
      </w:r>
      <w:proofErr w:type="spellStart"/>
      <w:r w:rsidRPr="00D35948">
        <w:rPr>
          <w:rFonts w:ascii="Times New Roman" w:eastAsia="Times New Roman" w:hAnsi="Times New Roman"/>
          <w:sz w:val="28"/>
          <w:szCs w:val="28"/>
          <w:lang w:val="lv-LV"/>
        </w:rPr>
        <w:t>euro</w:t>
      </w:r>
      <w:proofErr w:type="spellEnd"/>
      <w:r w:rsidRPr="00D35948">
        <w:rPr>
          <w:rFonts w:ascii="Times New Roman" w:eastAsia="Times New Roman" w:hAnsi="Times New Roman"/>
          <w:sz w:val="28"/>
          <w:szCs w:val="28"/>
          <w:lang w:val="lv-LV"/>
        </w:rPr>
        <w:t xml:space="preserve"> </w:t>
      </w:r>
      <w:r w:rsidRPr="00CF6852">
        <w:rPr>
          <w:rFonts w:ascii="Times New Roman" w:eastAsia="Times New Roman" w:hAnsi="Times New Roman"/>
          <w:sz w:val="28"/>
          <w:szCs w:val="28"/>
          <w:lang w:val="lv-LV"/>
        </w:rPr>
        <w:t xml:space="preserve">un 240 </w:t>
      </w:r>
      <w:proofErr w:type="spellStart"/>
      <w:r w:rsidRPr="00CF6852">
        <w:rPr>
          <w:rFonts w:ascii="Times New Roman" w:eastAsia="Times New Roman" w:hAnsi="Times New Roman"/>
          <w:i/>
          <w:sz w:val="28"/>
          <w:szCs w:val="28"/>
          <w:lang w:val="lv-LV"/>
        </w:rPr>
        <w:t>euro</w:t>
      </w:r>
      <w:proofErr w:type="spellEnd"/>
      <w:r w:rsidRPr="00CF6852">
        <w:rPr>
          <w:rFonts w:ascii="Times New Roman" w:eastAsia="Times New Roman" w:hAnsi="Times New Roman"/>
          <w:i/>
          <w:sz w:val="28"/>
          <w:szCs w:val="28"/>
          <w:lang w:val="lv-LV"/>
        </w:rPr>
        <w:t>.</w:t>
      </w:r>
      <w:r w:rsidRPr="00CF6852">
        <w:rPr>
          <w:rFonts w:ascii="Times New Roman" w:eastAsia="Times New Roman" w:hAnsi="Times New Roman"/>
          <w:sz w:val="28"/>
          <w:szCs w:val="28"/>
          <w:lang w:val="lv-LV"/>
        </w:rPr>
        <w:t xml:space="preserve"> </w:t>
      </w:r>
    </w:p>
    <w:p w:rsidR="001057B2" w:rsidRPr="002C5BF6" w:rsidRDefault="0060523D" w:rsidP="001057B2">
      <w:pPr>
        <w:widowControl/>
        <w:spacing w:after="120"/>
        <w:ind w:firstLine="720"/>
        <w:contextualSpacing/>
        <w:jc w:val="both"/>
        <w:rPr>
          <w:rFonts w:ascii="Times New Roman" w:hAnsi="Times New Roman"/>
          <w:sz w:val="28"/>
          <w:szCs w:val="28"/>
          <w:lang w:val="lv-LV"/>
        </w:rPr>
      </w:pPr>
      <w:r>
        <w:rPr>
          <w:rFonts w:ascii="Times New Roman" w:eastAsia="Times New Roman" w:hAnsi="Times New Roman"/>
          <w:sz w:val="28"/>
          <w:szCs w:val="28"/>
          <w:lang w:val="lv-LV"/>
        </w:rPr>
        <w:t>Vienlaikus informējam</w:t>
      </w:r>
      <w:r w:rsidRPr="00CF6852">
        <w:rPr>
          <w:rFonts w:ascii="Times New Roman" w:eastAsia="Times New Roman" w:hAnsi="Times New Roman"/>
          <w:sz w:val="28"/>
          <w:szCs w:val="28"/>
          <w:lang w:val="lv-LV"/>
        </w:rPr>
        <w:t xml:space="preserve">, ka Bērnu tiesību aizsardzības likuma 26. panta pirmajā daļā noteikts, ka </w:t>
      </w:r>
      <w:r w:rsidRPr="00CF6852">
        <w:rPr>
          <w:rFonts w:ascii="Times New Roman" w:eastAsia="Times New Roman" w:hAnsi="Times New Roman"/>
          <w:i/>
          <w:sz w:val="28"/>
          <w:szCs w:val="28"/>
          <w:lang w:val="lv-LV"/>
        </w:rPr>
        <w:t>v</w:t>
      </w:r>
      <w:r w:rsidRPr="00CF6852">
        <w:rPr>
          <w:rFonts w:ascii="Times New Roman" w:hAnsi="Times New Roman"/>
          <w:i/>
          <w:sz w:val="28"/>
          <w:szCs w:val="28"/>
          <w:lang w:val="lv-LV"/>
        </w:rPr>
        <w:t xml:space="preserve">alsts un pašvaldība atbalsta ģimeni, it īpaši daudzbērnu ģimeni un ģimeni, kuras aprūpē ir bērns ar invaliditāti, un sniedz tai palīdzību. </w:t>
      </w:r>
      <w:r w:rsidRPr="00CF6852">
        <w:rPr>
          <w:rFonts w:ascii="Times New Roman" w:hAnsi="Times New Roman"/>
          <w:sz w:val="28"/>
          <w:szCs w:val="28"/>
          <w:lang w:val="lv-LV"/>
        </w:rPr>
        <w:t>Valsts sniedz atbal</w:t>
      </w:r>
      <w:r w:rsidRPr="00CF6852">
        <w:rPr>
          <w:rFonts w:ascii="Times New Roman" w:hAnsi="Times New Roman"/>
          <w:sz w:val="28"/>
          <w:szCs w:val="28"/>
          <w:lang w:val="lv-LV"/>
        </w:rPr>
        <w:t>stu zemu ienākumu mājsaimniecībām, lai</w:t>
      </w:r>
      <w:r w:rsidRPr="00CF6852">
        <w:rPr>
          <w:rFonts w:ascii="Arial" w:hAnsi="Arial" w:cs="Arial"/>
          <w:color w:val="414142"/>
          <w:sz w:val="20"/>
          <w:szCs w:val="20"/>
          <w:shd w:val="clear" w:color="auto" w:fill="FFFFFF"/>
          <w:lang w:val="lv-LV"/>
        </w:rPr>
        <w:t xml:space="preserve"> </w:t>
      </w:r>
      <w:r w:rsidRPr="00CF6852">
        <w:rPr>
          <w:rFonts w:ascii="Times New Roman" w:hAnsi="Times New Roman"/>
          <w:sz w:val="28"/>
          <w:szCs w:val="28"/>
          <w:lang w:val="lv-LV"/>
        </w:rPr>
        <w:t xml:space="preserve">segtu ar mājokļa </w:t>
      </w:r>
      <w:r w:rsidRPr="00CF6852">
        <w:rPr>
          <w:rFonts w:ascii="Times New Roman" w:hAnsi="Times New Roman"/>
          <w:sz w:val="28"/>
          <w:szCs w:val="28"/>
          <w:lang w:val="lv-LV"/>
        </w:rPr>
        <w:lastRenderedPageBreak/>
        <w:t>lietošanu saistītos izdevumus, bet pašvaldībām dotas tiesības sniegt atbalstu, nevērtējot materiālo situāciju.</w:t>
      </w:r>
    </w:p>
    <w:p w:rsidR="001057B2" w:rsidRPr="00D35948" w:rsidRDefault="001057B2" w:rsidP="001057B2">
      <w:pPr>
        <w:widowControl/>
        <w:spacing w:after="120"/>
        <w:ind w:firstLine="720"/>
        <w:contextualSpacing/>
        <w:jc w:val="both"/>
        <w:rPr>
          <w:rFonts w:ascii="Times New Roman" w:eastAsia="Times New Roman" w:hAnsi="Times New Roman"/>
          <w:sz w:val="28"/>
          <w:szCs w:val="28"/>
          <w:lang w:val="lv-LV"/>
        </w:rPr>
      </w:pPr>
    </w:p>
    <w:tbl>
      <w:tblPr>
        <w:tblW w:w="0" w:type="auto"/>
        <w:tblLook w:val="04A0" w:firstRow="1" w:lastRow="0" w:firstColumn="1" w:lastColumn="0" w:noHBand="0" w:noVBand="1"/>
      </w:tblPr>
      <w:tblGrid>
        <w:gridCol w:w="3810"/>
        <w:gridCol w:w="5558"/>
      </w:tblGrid>
      <w:tr w:rsidR="00B41187" w:rsidTr="001057B2">
        <w:tc>
          <w:tcPr>
            <w:tcW w:w="3810" w:type="dxa"/>
            <w:hideMark/>
          </w:tcPr>
          <w:p w:rsidR="001057B2" w:rsidRPr="00D35948" w:rsidRDefault="0060523D" w:rsidP="001057B2">
            <w:pPr>
              <w:rPr>
                <w:rFonts w:ascii="Times New Roman" w:hAnsi="Times New Roman"/>
                <w:sz w:val="28"/>
                <w:szCs w:val="28"/>
                <w:lang w:val="lv-LV"/>
              </w:rPr>
            </w:pPr>
            <w:r w:rsidRPr="00D35948">
              <w:rPr>
                <w:rFonts w:ascii="Times New Roman" w:hAnsi="Times New Roman"/>
                <w:sz w:val="28"/>
                <w:szCs w:val="28"/>
                <w:lang w:val="lv-LV"/>
              </w:rPr>
              <w:t>Valsts sekretārs</w:t>
            </w:r>
          </w:p>
        </w:tc>
        <w:tc>
          <w:tcPr>
            <w:tcW w:w="5558" w:type="dxa"/>
            <w:hideMark/>
          </w:tcPr>
          <w:p w:rsidR="001057B2" w:rsidRPr="00D35948" w:rsidRDefault="0060523D" w:rsidP="001057B2">
            <w:pPr>
              <w:jc w:val="right"/>
              <w:rPr>
                <w:rFonts w:ascii="Times New Roman" w:hAnsi="Times New Roman"/>
                <w:sz w:val="28"/>
                <w:szCs w:val="28"/>
                <w:lang w:val="lv-LV"/>
              </w:rPr>
            </w:pPr>
            <w:proofErr w:type="spellStart"/>
            <w:r w:rsidRPr="00D35948">
              <w:rPr>
                <w:rFonts w:ascii="Times New Roman" w:hAnsi="Times New Roman"/>
                <w:sz w:val="28"/>
                <w:szCs w:val="28"/>
                <w:lang w:val="lv-LV"/>
              </w:rPr>
              <w:t>I.Alliks</w:t>
            </w:r>
            <w:proofErr w:type="spellEnd"/>
          </w:p>
        </w:tc>
      </w:tr>
    </w:tbl>
    <w:p w:rsidR="001057B2" w:rsidRPr="00D35948" w:rsidRDefault="001057B2" w:rsidP="001057B2">
      <w:pPr>
        <w:rPr>
          <w:rFonts w:ascii="Times New Roman" w:hAnsi="Times New Roman"/>
          <w:lang w:val="lv-LV"/>
        </w:rPr>
      </w:pPr>
    </w:p>
    <w:p w:rsidR="001057B2" w:rsidRPr="00D35948" w:rsidRDefault="0060523D" w:rsidP="001057B2">
      <w:pPr>
        <w:spacing w:after="0"/>
        <w:rPr>
          <w:rFonts w:ascii="Times New Roman" w:hAnsi="Times New Roman"/>
          <w:sz w:val="20"/>
          <w:szCs w:val="20"/>
          <w:lang w:val="lv-LV"/>
        </w:rPr>
      </w:pPr>
      <w:r w:rsidRPr="00D35948">
        <w:rPr>
          <w:rFonts w:ascii="Times New Roman" w:hAnsi="Times New Roman"/>
          <w:sz w:val="20"/>
          <w:szCs w:val="20"/>
          <w:lang w:val="lv-LV"/>
        </w:rPr>
        <w:t xml:space="preserve">Kūla </w:t>
      </w:r>
    </w:p>
    <w:p w:rsidR="001057B2" w:rsidRDefault="0060523D" w:rsidP="001057B2">
      <w:pPr>
        <w:rPr>
          <w:rFonts w:ascii="Times New Roman" w:hAnsi="Times New Roman"/>
          <w:sz w:val="20"/>
          <w:szCs w:val="20"/>
          <w:lang w:val="lv-LV"/>
        </w:rPr>
      </w:pPr>
      <w:hyperlink r:id="rId8" w:history="1">
        <w:r w:rsidRPr="00445659">
          <w:rPr>
            <w:rStyle w:val="Hyperlink"/>
            <w:rFonts w:ascii="Times New Roman" w:hAnsi="Times New Roman"/>
            <w:sz w:val="20"/>
            <w:szCs w:val="20"/>
            <w:lang w:val="lv-LV"/>
          </w:rPr>
          <w:t>evija.kula@lm.gov.lv</w:t>
        </w:r>
      </w:hyperlink>
    </w:p>
    <w:p w:rsidR="001057B2" w:rsidRDefault="0060523D" w:rsidP="001057B2">
      <w:pPr>
        <w:spacing w:after="0" w:line="240" w:lineRule="auto"/>
        <w:rPr>
          <w:rFonts w:ascii="Times New Roman" w:hAnsi="Times New Roman"/>
          <w:sz w:val="20"/>
          <w:szCs w:val="20"/>
          <w:lang w:val="lv-LV"/>
        </w:rPr>
      </w:pPr>
      <w:proofErr w:type="spellStart"/>
      <w:r>
        <w:rPr>
          <w:rFonts w:ascii="Times New Roman" w:hAnsi="Times New Roman"/>
          <w:sz w:val="20"/>
          <w:szCs w:val="20"/>
          <w:lang w:val="lv-LV"/>
        </w:rPr>
        <w:t>Klimone</w:t>
      </w:r>
      <w:proofErr w:type="spellEnd"/>
    </w:p>
    <w:p w:rsidR="001057B2" w:rsidRDefault="0060523D" w:rsidP="001057B2">
      <w:pPr>
        <w:rPr>
          <w:rFonts w:ascii="Times New Roman" w:hAnsi="Times New Roman"/>
          <w:sz w:val="20"/>
          <w:szCs w:val="20"/>
          <w:lang w:val="lv-LV"/>
        </w:rPr>
      </w:pPr>
      <w:hyperlink r:id="rId9" w:history="1">
        <w:r w:rsidRPr="00445659">
          <w:rPr>
            <w:rStyle w:val="Hyperlink"/>
            <w:rFonts w:ascii="Times New Roman" w:hAnsi="Times New Roman"/>
            <w:sz w:val="20"/>
            <w:szCs w:val="20"/>
            <w:lang w:val="lv-LV"/>
          </w:rPr>
          <w:t>Alina.Klimone@lm.gov.lv</w:t>
        </w:r>
      </w:hyperlink>
      <w:r>
        <w:rPr>
          <w:rFonts w:ascii="Times New Roman" w:hAnsi="Times New Roman"/>
          <w:sz w:val="20"/>
          <w:szCs w:val="20"/>
          <w:lang w:val="lv-LV"/>
        </w:rPr>
        <w:t xml:space="preserve"> </w:t>
      </w:r>
    </w:p>
    <w:p w:rsidR="00D012DE" w:rsidRPr="00D012DE" w:rsidRDefault="00D012DE" w:rsidP="001057B2">
      <w:pPr>
        <w:jc w:val="both"/>
        <w:rPr>
          <w:rFonts w:ascii="Times New Roman" w:hAnsi="Times New Roman"/>
          <w:sz w:val="28"/>
          <w:szCs w:val="28"/>
          <w:lang w:val="lv-LV"/>
        </w:rPr>
      </w:pPr>
    </w:p>
    <w:p w:rsidR="00D012DE" w:rsidRDefault="00D012DE" w:rsidP="00107DCE">
      <w:pPr>
        <w:jc w:val="both"/>
        <w:rPr>
          <w:rFonts w:ascii="Times New Roman" w:hAnsi="Times New Roman"/>
          <w:sz w:val="28"/>
          <w:szCs w:val="28"/>
          <w:lang w:val="lv-LV"/>
        </w:rPr>
      </w:pPr>
    </w:p>
    <w:p w:rsidR="00107DCE" w:rsidRPr="00107DCE" w:rsidRDefault="00107DCE" w:rsidP="00107DCE">
      <w:pPr>
        <w:rPr>
          <w:rFonts w:ascii="Times New Roman" w:hAnsi="Times New Roman"/>
          <w:sz w:val="28"/>
          <w:szCs w:val="28"/>
          <w:lang w:val="lv-LV"/>
        </w:rPr>
      </w:pPr>
    </w:p>
    <w:p w:rsidR="00107DCE" w:rsidRPr="00107DCE" w:rsidRDefault="00107DCE" w:rsidP="00107DCE">
      <w:pPr>
        <w:rPr>
          <w:rFonts w:ascii="Times New Roman" w:hAnsi="Times New Roman"/>
          <w:sz w:val="28"/>
          <w:szCs w:val="28"/>
          <w:lang w:val="lv-LV"/>
        </w:rPr>
      </w:pPr>
    </w:p>
    <w:p w:rsidR="007F393E" w:rsidRDefault="007F393E" w:rsidP="007F393E">
      <w:pPr>
        <w:rPr>
          <w:rFonts w:ascii="Times New Roman" w:hAnsi="Times New Roman"/>
          <w:sz w:val="28"/>
          <w:szCs w:val="28"/>
          <w:lang w:val="lv-LV"/>
        </w:rPr>
      </w:pPr>
    </w:p>
    <w:p w:rsidR="005C7576" w:rsidRDefault="005C7576" w:rsidP="005C7576">
      <w:pPr>
        <w:rPr>
          <w:rFonts w:ascii="Times New Roman" w:hAnsi="Times New Roman"/>
          <w:sz w:val="28"/>
          <w:szCs w:val="28"/>
          <w:lang w:val="lv-LV"/>
        </w:rPr>
      </w:pPr>
    </w:p>
    <w:p w:rsidR="005C7576" w:rsidRDefault="005C7576" w:rsidP="005C7576">
      <w:pPr>
        <w:rPr>
          <w:rFonts w:ascii="Times New Roman" w:hAnsi="Times New Roman"/>
          <w:sz w:val="28"/>
          <w:szCs w:val="28"/>
          <w:lang w:val="lv-LV"/>
        </w:rPr>
      </w:pPr>
    </w:p>
    <w:tbl>
      <w:tblPr>
        <w:tblW w:w="0" w:type="auto"/>
        <w:tblLook w:val="04A0" w:firstRow="1" w:lastRow="0" w:firstColumn="1" w:lastColumn="0" w:noHBand="0" w:noVBand="1"/>
      </w:tblPr>
      <w:tblGrid>
        <w:gridCol w:w="3297"/>
        <w:gridCol w:w="6025"/>
      </w:tblGrid>
      <w:tr w:rsidR="00B41187" w:rsidTr="005C7576">
        <w:tc>
          <w:tcPr>
            <w:tcW w:w="3297" w:type="dxa"/>
            <w:hideMark/>
          </w:tcPr>
          <w:p w:rsidR="005C7576" w:rsidRDefault="0060523D">
            <w:pPr>
              <w:rPr>
                <w:rFonts w:ascii="Times New Roman" w:hAnsi="Times New Roman"/>
                <w:sz w:val="28"/>
                <w:szCs w:val="28"/>
                <w:lang w:val="lv-LV"/>
              </w:rPr>
            </w:pPr>
            <w:r>
              <w:rPr>
                <w:rFonts w:ascii="Times New Roman" w:hAnsi="Times New Roman"/>
                <w:sz w:val="28"/>
                <w:szCs w:val="28"/>
                <w:lang w:val="lv-LV"/>
              </w:rPr>
              <w:t>Valsts sekretārs</w:t>
            </w:r>
          </w:p>
        </w:tc>
        <w:tc>
          <w:tcPr>
            <w:tcW w:w="6025" w:type="dxa"/>
            <w:hideMark/>
          </w:tcPr>
          <w:p w:rsidR="005C7576" w:rsidRDefault="0060523D">
            <w:pPr>
              <w:jc w:val="right"/>
              <w:rPr>
                <w:rFonts w:ascii="Times New Roman" w:hAnsi="Times New Roman"/>
                <w:sz w:val="28"/>
                <w:szCs w:val="28"/>
                <w:lang w:val="lv-LV"/>
              </w:rPr>
            </w:pPr>
            <w:proofErr w:type="spellStart"/>
            <w:r>
              <w:rPr>
                <w:rFonts w:ascii="Times New Roman" w:hAnsi="Times New Roman"/>
                <w:sz w:val="28"/>
                <w:szCs w:val="28"/>
                <w:lang w:val="lv-LV"/>
              </w:rPr>
              <w:t>I.Alliks</w:t>
            </w:r>
            <w:proofErr w:type="spellEnd"/>
          </w:p>
        </w:tc>
      </w:tr>
    </w:tbl>
    <w:p w:rsidR="005C7576" w:rsidRDefault="005C7576" w:rsidP="005C7576">
      <w:pPr>
        <w:rPr>
          <w:rFonts w:ascii="Times New Roman" w:hAnsi="Times New Roman"/>
          <w:sz w:val="28"/>
          <w:szCs w:val="28"/>
          <w:lang w:val="lv-LV"/>
        </w:rPr>
      </w:pPr>
    </w:p>
    <w:p w:rsidR="005C7576" w:rsidRDefault="005C7576" w:rsidP="005C7576">
      <w:pPr>
        <w:rPr>
          <w:rFonts w:ascii="Times New Roman" w:hAnsi="Times New Roman"/>
          <w:lang w:val="lv-LV"/>
        </w:rPr>
      </w:pPr>
    </w:p>
    <w:p w:rsidR="005C7576" w:rsidRDefault="0060523D" w:rsidP="005C7576">
      <w:pPr>
        <w:spacing w:after="0"/>
        <w:rPr>
          <w:rFonts w:ascii="Times New Roman" w:hAnsi="Times New Roman"/>
          <w:sz w:val="20"/>
          <w:szCs w:val="20"/>
          <w:lang w:val="lv-LV"/>
        </w:rPr>
      </w:pPr>
      <w:r>
        <w:rPr>
          <w:rFonts w:ascii="Times New Roman" w:hAnsi="Times New Roman"/>
          <w:sz w:val="20"/>
          <w:szCs w:val="20"/>
          <w:lang w:val="lv-LV"/>
        </w:rPr>
        <w:t xml:space="preserve">Kūla </w:t>
      </w:r>
    </w:p>
    <w:p w:rsidR="005C7576" w:rsidRDefault="0060523D" w:rsidP="005C7576">
      <w:pPr>
        <w:rPr>
          <w:rFonts w:ascii="Times New Roman" w:hAnsi="Times New Roman"/>
          <w:sz w:val="20"/>
          <w:szCs w:val="20"/>
          <w:lang w:val="lv-LV"/>
        </w:rPr>
      </w:pPr>
      <w:r>
        <w:rPr>
          <w:rFonts w:ascii="Times New Roman" w:hAnsi="Times New Roman"/>
          <w:sz w:val="20"/>
          <w:szCs w:val="20"/>
          <w:lang w:val="lv-LV"/>
        </w:rPr>
        <w:t>evija.kula@lm.gov.lv</w:t>
      </w:r>
    </w:p>
    <w:p w:rsidR="005C7576" w:rsidRDefault="0060523D" w:rsidP="005C7576">
      <w:pPr>
        <w:spacing w:after="0"/>
        <w:rPr>
          <w:rFonts w:ascii="Times New Roman" w:hAnsi="Times New Roman"/>
          <w:sz w:val="20"/>
          <w:szCs w:val="20"/>
          <w:lang w:val="lv-LV"/>
        </w:rPr>
      </w:pPr>
      <w:r>
        <w:rPr>
          <w:rFonts w:ascii="Times New Roman" w:hAnsi="Times New Roman"/>
          <w:sz w:val="20"/>
          <w:szCs w:val="20"/>
          <w:lang w:val="lv-LV"/>
        </w:rPr>
        <w:t xml:space="preserve"> </w:t>
      </w:r>
    </w:p>
    <w:p w:rsidR="005C7576" w:rsidRDefault="005C7576" w:rsidP="005C7576">
      <w:pPr>
        <w:rPr>
          <w:rFonts w:ascii="Times New Roman" w:hAnsi="Times New Roman"/>
          <w:sz w:val="20"/>
          <w:szCs w:val="20"/>
          <w:lang w:val="lv-LV"/>
        </w:rPr>
      </w:pPr>
    </w:p>
    <w:p w:rsidR="005C7576" w:rsidRDefault="0060523D" w:rsidP="005C7576">
      <w:pPr>
        <w:spacing w:after="0"/>
        <w:rPr>
          <w:rFonts w:ascii="Times New Roman" w:hAnsi="Times New Roman"/>
          <w:sz w:val="20"/>
          <w:szCs w:val="20"/>
          <w:lang w:val="lv-LV"/>
        </w:rPr>
      </w:pPr>
      <w:r>
        <w:rPr>
          <w:rFonts w:ascii="Times New Roman" w:hAnsi="Times New Roman"/>
          <w:sz w:val="20"/>
          <w:szCs w:val="20"/>
          <w:lang w:val="lv-LV"/>
        </w:rPr>
        <w:t xml:space="preserve"> </w:t>
      </w:r>
    </w:p>
    <w:p w:rsidR="005C7576" w:rsidRDefault="005C7576" w:rsidP="005C7576">
      <w:pPr>
        <w:rPr>
          <w:rFonts w:ascii="Times New Roman" w:hAnsi="Times New Roman"/>
          <w:sz w:val="20"/>
          <w:szCs w:val="20"/>
          <w:lang w:val="lv-LV"/>
        </w:rPr>
      </w:pPr>
    </w:p>
    <w:p w:rsidR="002E1474" w:rsidRPr="00AE4838" w:rsidRDefault="002E1474" w:rsidP="005C7576">
      <w:pPr>
        <w:pStyle w:val="Header"/>
        <w:rPr>
          <w:rFonts w:ascii="Times New Roman" w:hAnsi="Times New Roman"/>
          <w:sz w:val="24"/>
          <w:szCs w:val="24"/>
          <w:lang w:val="lv-LV"/>
        </w:rPr>
      </w:pPr>
    </w:p>
    <w:sectPr w:rsidR="002E1474" w:rsidRPr="00AE4838" w:rsidSect="00236649">
      <w:headerReference w:type="default" r:id="rId10"/>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23D" w:rsidRDefault="0060523D">
      <w:pPr>
        <w:spacing w:after="0" w:line="240" w:lineRule="auto"/>
      </w:pPr>
      <w:r>
        <w:separator/>
      </w:r>
    </w:p>
  </w:endnote>
  <w:endnote w:type="continuationSeparator" w:id="0">
    <w:p w:rsidR="0060523D" w:rsidRDefault="0060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B2" w:rsidRDefault="001057B2">
    <w:pPr>
      <w:pStyle w:val="Footer"/>
    </w:pPr>
  </w:p>
  <w:p w:rsidR="00B41187" w:rsidRDefault="0060523D">
    <w:pPr>
      <w:jc w:val="center"/>
    </w:pPr>
    <w:proofErr w:type="spellStart"/>
    <w:r>
      <w:rPr>
        <w:rFonts w:ascii="Times New Roman" w:eastAsia="Times New Roman" w:hAnsi="Times New Roman"/>
        <w:i/>
        <w:sz w:val="20"/>
      </w:rPr>
      <w:t>Dokuments</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parakstīts</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ar</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drošu</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elektronisko</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parakstu</w:t>
    </w:r>
    <w:proofErr w:type="spellEnd"/>
    <w:r>
      <w:rPr>
        <w:rFonts w:ascii="Times New Roman" w:eastAsia="Times New Roman" w:hAnsi="Times New Roman"/>
        <w:i/>
        <w:sz w:val="20"/>
      </w:rPr>
      <w:t xml:space="preserve"> un </w:t>
    </w:r>
    <w:proofErr w:type="spellStart"/>
    <w:r>
      <w:rPr>
        <w:rFonts w:ascii="Times New Roman" w:eastAsia="Times New Roman" w:hAnsi="Times New Roman"/>
        <w:i/>
        <w:sz w:val="20"/>
      </w:rPr>
      <w:t>satur</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laika</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zīmogu</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87" w:rsidRDefault="0060523D">
    <w:pPr>
      <w:jc w:val="center"/>
    </w:pPr>
    <w:proofErr w:type="spellStart"/>
    <w:r>
      <w:rPr>
        <w:rFonts w:ascii="Times New Roman" w:eastAsia="Times New Roman" w:hAnsi="Times New Roman"/>
        <w:i/>
        <w:sz w:val="20"/>
      </w:rPr>
      <w:t>Dokuments</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parakstīts</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ar</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drošu</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elektronisko</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parakstu</w:t>
    </w:r>
    <w:proofErr w:type="spellEnd"/>
    <w:r>
      <w:rPr>
        <w:rFonts w:ascii="Times New Roman" w:eastAsia="Times New Roman" w:hAnsi="Times New Roman"/>
        <w:i/>
        <w:sz w:val="20"/>
      </w:rPr>
      <w:t xml:space="preserve"> un </w:t>
    </w:r>
    <w:proofErr w:type="spellStart"/>
    <w:r>
      <w:rPr>
        <w:rFonts w:ascii="Times New Roman" w:eastAsia="Times New Roman" w:hAnsi="Times New Roman"/>
        <w:i/>
        <w:sz w:val="20"/>
      </w:rPr>
      <w:t>satur</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laika</w:t>
    </w:r>
    <w:proofErr w:type="spellEnd"/>
    <w:r>
      <w:rPr>
        <w:rFonts w:ascii="Times New Roman" w:eastAsia="Times New Roman" w:hAnsi="Times New Roman"/>
        <w:i/>
        <w:sz w:val="20"/>
      </w:rPr>
      <w:t xml:space="preserve"> </w:t>
    </w:r>
    <w:proofErr w:type="spellStart"/>
    <w:r>
      <w:rPr>
        <w:rFonts w:ascii="Times New Roman" w:eastAsia="Times New Roman" w:hAnsi="Times New Roman"/>
        <w:i/>
        <w:sz w:val="20"/>
      </w:rPr>
      <w:t>zīmogu</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23D" w:rsidRDefault="0060523D">
      <w:pPr>
        <w:spacing w:after="0" w:line="240" w:lineRule="auto"/>
      </w:pPr>
      <w:r>
        <w:separator/>
      </w:r>
    </w:p>
  </w:footnote>
  <w:footnote w:type="continuationSeparator" w:id="0">
    <w:p w:rsidR="0060523D" w:rsidRDefault="0060523D">
      <w:pPr>
        <w:spacing w:after="0" w:line="240" w:lineRule="auto"/>
      </w:pPr>
      <w:r>
        <w:continuationSeparator/>
      </w:r>
    </w:p>
  </w:footnote>
  <w:footnote w:type="continuationNotice" w:id="1">
    <w:p w:rsidR="0060523D" w:rsidRDefault="0060523D">
      <w:pPr>
        <w:spacing w:after="0" w:line="240" w:lineRule="auto"/>
      </w:pPr>
    </w:p>
  </w:footnote>
  <w:footnote w:id="2">
    <w:p w:rsidR="001057B2" w:rsidRPr="00974F04" w:rsidRDefault="0060523D" w:rsidP="001057B2">
      <w:pPr>
        <w:pStyle w:val="FootnoteText"/>
        <w:rPr>
          <w:rFonts w:ascii="Times New Roman" w:hAnsi="Times New Roman"/>
          <w:lang w:val="lv-LV"/>
        </w:rPr>
      </w:pPr>
      <w:r w:rsidRPr="00974F04">
        <w:rPr>
          <w:rStyle w:val="FootnoteReference"/>
          <w:rFonts w:ascii="Times New Roman" w:hAnsi="Times New Roman"/>
        </w:rPr>
        <w:footnoteRef/>
      </w:r>
      <w:r w:rsidRPr="00974F04">
        <w:rPr>
          <w:rFonts w:ascii="Times New Roman" w:hAnsi="Times New Roman"/>
          <w:lang w:val="lv-LV"/>
        </w:rPr>
        <w:t xml:space="preserve"> Sociālo pakalpojumu un sociālās palīdzības likums 35. panta piektā daļa</w:t>
      </w:r>
    </w:p>
  </w:footnote>
  <w:footnote w:id="3">
    <w:p w:rsidR="001057B2" w:rsidRPr="00B80655" w:rsidRDefault="0060523D" w:rsidP="001057B2">
      <w:pPr>
        <w:pStyle w:val="FootnoteText"/>
        <w:jc w:val="both"/>
        <w:rPr>
          <w:lang w:val="lv-LV"/>
        </w:rPr>
      </w:pPr>
      <w:r w:rsidRPr="00974F04">
        <w:rPr>
          <w:rStyle w:val="FootnoteReference"/>
          <w:rFonts w:ascii="Times New Roman" w:hAnsi="Times New Roman"/>
        </w:rPr>
        <w:footnoteRef/>
      </w:r>
      <w:r w:rsidRPr="00974F04">
        <w:rPr>
          <w:rFonts w:ascii="Times New Roman" w:hAnsi="Times New Roman"/>
          <w:lang w:val="lv-LV"/>
        </w:rPr>
        <w:t xml:space="preserve"> </w:t>
      </w:r>
      <w:r w:rsidRPr="00974F04">
        <w:rPr>
          <w:rFonts w:ascii="Times New Roman" w:hAnsi="Times New Roman"/>
          <w:lang w:val="lv-LV"/>
        </w:rPr>
        <w:t>Ministru kabineta noteikumu Nr. 809 “Noteikumi par mājsaimniecības materiālās situācijas izvērtēšanu un sociālās palīdzības saņemšanu” 3.pielikums</w:t>
      </w:r>
      <w:r>
        <w:rPr>
          <w:rFonts w:ascii="Times New Roman" w:hAnsi="Times New Roman"/>
          <w:lang w:val="lv-LV"/>
        </w:rPr>
        <w:t>.</w:t>
      </w:r>
    </w:p>
  </w:footnote>
  <w:footnote w:id="4">
    <w:p w:rsidR="001057B2" w:rsidRPr="004E6DD2" w:rsidRDefault="0060523D" w:rsidP="001057B2">
      <w:pPr>
        <w:pStyle w:val="FootnoteText"/>
        <w:jc w:val="both"/>
        <w:rPr>
          <w:rFonts w:ascii="Times New Roman" w:hAnsi="Times New Roman"/>
          <w:lang w:val="lv-LV"/>
        </w:rPr>
      </w:pPr>
      <w:r w:rsidRPr="004E6DD2">
        <w:rPr>
          <w:rStyle w:val="FootnoteReference"/>
          <w:rFonts w:ascii="Times New Roman" w:hAnsi="Times New Roman"/>
        </w:rPr>
        <w:footnoteRef/>
      </w:r>
      <w:r w:rsidRPr="004E6DD2">
        <w:rPr>
          <w:rFonts w:ascii="Times New Roman" w:hAnsi="Times New Roman"/>
          <w:lang w:val="lv-LV"/>
        </w:rPr>
        <w:t xml:space="preserve"> </w:t>
      </w:r>
      <w:r>
        <w:rPr>
          <w:rFonts w:ascii="Times New Roman" w:hAnsi="Times New Roman"/>
          <w:lang w:val="lv-LV"/>
        </w:rPr>
        <w:t>A</w:t>
      </w:r>
      <w:r w:rsidRPr="004E6DD2">
        <w:rPr>
          <w:rFonts w:ascii="Times New Roman" w:hAnsi="Times New Roman"/>
          <w:iCs/>
          <w:lang w:val="lv-LV"/>
        </w:rPr>
        <w:t xml:space="preserve">tbilstoši SPSP likuma 33. panta trešajai daļai trūcīgas mājsaimniecības ienākumu slieksnis ir 50 </w:t>
      </w:r>
      <w:r>
        <w:rPr>
          <w:rFonts w:ascii="Times New Roman" w:hAnsi="Times New Roman"/>
          <w:iCs/>
          <w:lang w:val="lv-LV"/>
        </w:rPr>
        <w:t>%</w:t>
      </w:r>
      <w:r w:rsidRPr="004E6DD2">
        <w:rPr>
          <w:rFonts w:ascii="Times New Roman" w:hAnsi="Times New Roman"/>
          <w:iCs/>
          <w:lang w:val="lv-LV"/>
        </w:rPr>
        <w:t xml:space="preserve"> no ienākumu mediānas, tas ir 313 </w:t>
      </w:r>
      <w:proofErr w:type="spellStart"/>
      <w:r w:rsidRPr="004E6DD2">
        <w:rPr>
          <w:rFonts w:ascii="Times New Roman" w:hAnsi="Times New Roman"/>
          <w:iCs/>
          <w:lang w:val="lv-LV"/>
        </w:rPr>
        <w:t>euro</w:t>
      </w:r>
      <w:proofErr w:type="spellEnd"/>
      <w:r w:rsidRPr="004E6DD2">
        <w:rPr>
          <w:rFonts w:ascii="Times New Roman" w:hAnsi="Times New Roman"/>
          <w:iCs/>
          <w:lang w:val="lv-LV"/>
        </w:rPr>
        <w:t xml:space="preserve"> pirmajai personai mājsaimniecībā un 219 </w:t>
      </w:r>
      <w:proofErr w:type="spellStart"/>
      <w:r w:rsidRPr="004E6DD2">
        <w:rPr>
          <w:rFonts w:ascii="Times New Roman" w:hAnsi="Times New Roman"/>
          <w:iCs/>
          <w:lang w:val="lv-LV"/>
        </w:rPr>
        <w:t>euro</w:t>
      </w:r>
      <w:proofErr w:type="spellEnd"/>
      <w:r w:rsidRPr="004E6DD2">
        <w:rPr>
          <w:rFonts w:ascii="Times New Roman" w:hAnsi="Times New Roman"/>
          <w:iCs/>
          <w:lang w:val="lv-LV"/>
        </w:rPr>
        <w:t xml:space="preserve"> pārējām personām mājsaimniecībā jeb mājsaimniecībai, kuras sastāvā ir 5 personas trūcīgās mājsaimniecības slieksnis ir 1189 </w:t>
      </w:r>
      <w:proofErr w:type="spellStart"/>
      <w:r w:rsidRPr="004E6DD2">
        <w:rPr>
          <w:rFonts w:ascii="Times New Roman" w:hAnsi="Times New Roman"/>
          <w:iCs/>
          <w:lang w:val="lv-LV"/>
        </w:rPr>
        <w:t>euro</w:t>
      </w:r>
      <w:proofErr w:type="spellEnd"/>
      <w:r>
        <w:rPr>
          <w:rFonts w:ascii="Times New Roman" w:hAnsi="Times New Roman"/>
          <w:iCs/>
          <w:lang w:val="lv-LV"/>
        </w:rPr>
        <w:t>.</w:t>
      </w:r>
    </w:p>
  </w:footnote>
  <w:footnote w:id="5">
    <w:p w:rsidR="001057B2" w:rsidRPr="0002384D" w:rsidRDefault="0060523D" w:rsidP="001057B2">
      <w:pPr>
        <w:pStyle w:val="FootnoteText"/>
        <w:rPr>
          <w:rFonts w:ascii="Times New Roman" w:hAnsi="Times New Roman"/>
          <w:lang w:val="lv-LV"/>
        </w:rPr>
      </w:pPr>
      <w:r w:rsidRPr="0002384D">
        <w:rPr>
          <w:rStyle w:val="FootnoteReference"/>
          <w:rFonts w:ascii="Times New Roman" w:hAnsi="Times New Roman"/>
        </w:rPr>
        <w:footnoteRef/>
      </w:r>
      <w:r w:rsidRPr="0002384D">
        <w:rPr>
          <w:rFonts w:ascii="Times New Roman" w:hAnsi="Times New Roman"/>
          <w:lang w:val="lv-LV"/>
        </w:rPr>
        <w:t xml:space="preserve"> </w:t>
      </w:r>
      <w:r w:rsidRPr="0002384D">
        <w:rPr>
          <w:rFonts w:ascii="Times New Roman" w:hAnsi="Times New Roman"/>
          <w:lang w:val="lv-LV"/>
        </w:rPr>
        <w:t>Šie GMI sliekšņu apmēri ir spēkā no 2023</w:t>
      </w:r>
      <w:r w:rsidRPr="0002384D">
        <w:rPr>
          <w:rFonts w:ascii="Times New Roman" w:hAnsi="Times New Roman"/>
          <w:lang w:val="lv-LV"/>
        </w:rPr>
        <w:t>.</w:t>
      </w:r>
      <w:r>
        <w:rPr>
          <w:rFonts w:ascii="Times New Roman" w:hAnsi="Times New Roman"/>
          <w:lang w:val="lv-LV"/>
        </w:rPr>
        <w:t> </w:t>
      </w:r>
      <w:r w:rsidRPr="0002384D">
        <w:rPr>
          <w:rFonts w:ascii="Times New Roman" w:hAnsi="Times New Roman"/>
          <w:lang w:val="lv-LV"/>
        </w:rPr>
        <w:t>gada 1.</w:t>
      </w:r>
      <w:r>
        <w:rPr>
          <w:rFonts w:ascii="Times New Roman" w:hAnsi="Times New Roman"/>
          <w:lang w:val="lv-LV"/>
        </w:rPr>
        <w:t> </w:t>
      </w:r>
      <w:r w:rsidRPr="0002384D">
        <w:rPr>
          <w:rFonts w:ascii="Times New Roman" w:hAnsi="Times New Roman"/>
          <w:lang w:val="lv-LV"/>
        </w:rPr>
        <w:t>jūlija. No 2024.</w:t>
      </w:r>
      <w:r>
        <w:rPr>
          <w:rFonts w:ascii="Times New Roman" w:hAnsi="Times New Roman"/>
          <w:lang w:val="lv-LV"/>
        </w:rPr>
        <w:t> </w:t>
      </w:r>
      <w:r w:rsidRPr="0002384D">
        <w:rPr>
          <w:rFonts w:ascii="Times New Roman" w:hAnsi="Times New Roman"/>
          <w:lang w:val="lv-LV"/>
        </w:rPr>
        <w:t>gada 1.</w:t>
      </w:r>
      <w:r>
        <w:rPr>
          <w:rFonts w:ascii="Times New Roman" w:hAnsi="Times New Roman"/>
          <w:lang w:val="lv-LV"/>
        </w:rPr>
        <w:t> </w:t>
      </w:r>
      <w:r w:rsidRPr="0002384D">
        <w:rPr>
          <w:rFonts w:ascii="Times New Roman" w:hAnsi="Times New Roman"/>
          <w:lang w:val="lv-LV"/>
        </w:rPr>
        <w:t xml:space="preserve">janvāra GMI sliekšņi palielināsies </w:t>
      </w:r>
      <w:r>
        <w:rPr>
          <w:rFonts w:ascii="Times New Roman" w:hAnsi="Times New Roman"/>
          <w:lang w:val="lv-LV"/>
        </w:rPr>
        <w:t xml:space="preserve">un attiecīgi būs </w:t>
      </w:r>
      <w:r w:rsidRPr="0002384D">
        <w:rPr>
          <w:rFonts w:ascii="Times New Roman" w:hAnsi="Times New Roman"/>
          <w:lang w:val="lv-LV"/>
        </w:rPr>
        <w:t>1</w:t>
      </w:r>
      <w:r>
        <w:rPr>
          <w:rFonts w:ascii="Times New Roman" w:hAnsi="Times New Roman"/>
          <w:lang w:val="lv-LV"/>
        </w:rPr>
        <w:t>37</w:t>
      </w:r>
      <w:r w:rsidRPr="0002384D">
        <w:rPr>
          <w:rFonts w:ascii="Times New Roman" w:hAnsi="Times New Roman"/>
          <w:lang w:val="lv-LV"/>
        </w:rPr>
        <w:t xml:space="preserve">,00 </w:t>
      </w:r>
      <w:proofErr w:type="spellStart"/>
      <w:r w:rsidRPr="0002384D">
        <w:rPr>
          <w:rFonts w:ascii="Times New Roman" w:hAnsi="Times New Roman"/>
          <w:i/>
          <w:lang w:val="lv-LV"/>
        </w:rPr>
        <w:t>euro</w:t>
      </w:r>
      <w:proofErr w:type="spellEnd"/>
      <w:r w:rsidRPr="0002384D">
        <w:rPr>
          <w:rFonts w:ascii="Times New Roman" w:hAnsi="Times New Roman"/>
          <w:lang w:val="lv-LV"/>
        </w:rPr>
        <w:t xml:space="preserve"> pirmajai vai vienīgajai personai un</w:t>
      </w:r>
      <w:r>
        <w:rPr>
          <w:rFonts w:ascii="Times New Roman" w:hAnsi="Times New Roman"/>
          <w:lang w:val="lv-LV"/>
        </w:rPr>
        <w:t xml:space="preserve"> 96</w:t>
      </w:r>
      <w:r w:rsidRPr="0002384D">
        <w:rPr>
          <w:rFonts w:ascii="Times New Roman" w:hAnsi="Times New Roman"/>
          <w:lang w:val="lv-LV"/>
        </w:rPr>
        <w:t>,</w:t>
      </w:r>
      <w:r>
        <w:rPr>
          <w:rFonts w:ascii="Times New Roman" w:hAnsi="Times New Roman"/>
          <w:lang w:val="lv-LV"/>
        </w:rPr>
        <w:t>0</w:t>
      </w:r>
      <w:r w:rsidRPr="0002384D">
        <w:rPr>
          <w:rFonts w:ascii="Times New Roman" w:hAnsi="Times New Roman"/>
          <w:lang w:val="lv-LV"/>
        </w:rPr>
        <w:t xml:space="preserve">0 </w:t>
      </w:r>
      <w:proofErr w:type="spellStart"/>
      <w:r w:rsidRPr="0002384D">
        <w:rPr>
          <w:rFonts w:ascii="Times New Roman" w:hAnsi="Times New Roman"/>
          <w:i/>
          <w:lang w:val="lv-LV"/>
        </w:rPr>
        <w:t>euro</w:t>
      </w:r>
      <w:proofErr w:type="spellEnd"/>
      <w:r w:rsidRPr="0002384D">
        <w:rPr>
          <w:rFonts w:ascii="Times New Roman" w:hAnsi="Times New Roman"/>
          <w:lang w:val="lv-LV"/>
        </w:rPr>
        <w:t xml:space="preserve"> pārējām </w:t>
      </w:r>
      <w:r>
        <w:rPr>
          <w:rFonts w:ascii="Times New Roman" w:hAnsi="Times New Roman"/>
          <w:lang w:val="lv-LV"/>
        </w:rPr>
        <w:t xml:space="preserve">personām </w:t>
      </w:r>
      <w:r w:rsidRPr="0002384D">
        <w:rPr>
          <w:rFonts w:ascii="Times New Roman" w:hAnsi="Times New Roman"/>
          <w:lang w:val="lv-LV"/>
        </w:rPr>
        <w:t>mājsaimniecībā</w:t>
      </w:r>
      <w:r>
        <w:rPr>
          <w:rFonts w:ascii="Times New Roman" w:hAnsi="Times New Roman"/>
          <w:lang w:val="lv-LV"/>
        </w:rPr>
        <w:t>.</w:t>
      </w:r>
    </w:p>
  </w:footnote>
  <w:footnote w:id="6">
    <w:p w:rsidR="001057B2" w:rsidRPr="00974F04" w:rsidRDefault="0060523D" w:rsidP="001057B2">
      <w:pPr>
        <w:pStyle w:val="FootnoteText"/>
        <w:jc w:val="both"/>
        <w:rPr>
          <w:rFonts w:ascii="Times New Roman" w:hAnsi="Times New Roman"/>
          <w:lang w:val="lv-LV"/>
        </w:rPr>
      </w:pPr>
      <w:r w:rsidRPr="00974F04">
        <w:rPr>
          <w:rStyle w:val="FootnoteReference"/>
          <w:rFonts w:ascii="Times New Roman" w:hAnsi="Times New Roman"/>
        </w:rPr>
        <w:footnoteRef/>
      </w:r>
      <w:r w:rsidRPr="00974F04">
        <w:rPr>
          <w:rFonts w:ascii="Times New Roman" w:hAnsi="Times New Roman"/>
        </w:rPr>
        <w:t xml:space="preserve"> </w:t>
      </w:r>
      <w:proofErr w:type="spellStart"/>
      <w:r w:rsidRPr="00974F04">
        <w:rPr>
          <w:rFonts w:ascii="Times New Roman" w:hAnsi="Times New Roman"/>
        </w:rPr>
        <w:t>Sociālo</w:t>
      </w:r>
      <w:proofErr w:type="spellEnd"/>
      <w:r w:rsidRPr="00974F04">
        <w:rPr>
          <w:rFonts w:ascii="Times New Roman" w:hAnsi="Times New Roman"/>
        </w:rPr>
        <w:t xml:space="preserve"> </w:t>
      </w:r>
      <w:r w:rsidRPr="00974F04">
        <w:rPr>
          <w:rFonts w:ascii="Times New Roman" w:hAnsi="Times New Roman"/>
          <w:lang w:val="lv-LV"/>
        </w:rPr>
        <w:t>pakalpojumu un sociālās palīdzības likuma</w:t>
      </w:r>
      <w:r w:rsidRPr="00974F04">
        <w:rPr>
          <w:rFonts w:ascii="Times New Roman" w:hAnsi="Times New Roman"/>
        </w:rPr>
        <w:t xml:space="preserve"> </w:t>
      </w:r>
      <w:proofErr w:type="gramStart"/>
      <w:r w:rsidRPr="00974F04">
        <w:rPr>
          <w:rFonts w:ascii="Times New Roman" w:hAnsi="Times New Roman"/>
        </w:rPr>
        <w:t>36.pants</w:t>
      </w:r>
      <w:proofErr w:type="gramEnd"/>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B2" w:rsidRDefault="001057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Default="001057B2" w:rsidP="00236649">
    <w:pPr>
      <w:pStyle w:val="Header"/>
      <w:rPr>
        <w:rFonts w:ascii="Times New Roman" w:hAnsi="Times New Roman"/>
      </w:rPr>
    </w:pPr>
  </w:p>
  <w:p w:rsidR="001057B2" w:rsidRPr="00815277" w:rsidRDefault="0060523D" w:rsidP="00236649">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1085850</wp:posOffset>
          </wp:positionH>
          <wp:positionV relativeFrom="page">
            <wp:posOffset>742950</wp:posOffset>
          </wp:positionV>
          <wp:extent cx="5936615"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7B2" w:rsidRDefault="0060523D" w:rsidP="00236649">
                          <w:pPr>
                            <w:spacing w:after="0" w:line="194" w:lineRule="exact"/>
                            <w:ind w:left="20" w:right="-45"/>
                            <w:jc w:val="center"/>
                            <w:rPr>
                              <w:rFonts w:ascii="Times New Roman" w:eastAsia="Times New Roman" w:hAnsi="Times New Roman"/>
                              <w:sz w:val="17"/>
                              <w:szCs w:val="17"/>
                            </w:rPr>
                          </w:pPr>
                          <w:proofErr w:type="spellStart"/>
                          <w:r w:rsidRPr="00153879">
                            <w:rPr>
                              <w:rFonts w:ascii="Times New Roman" w:eastAsia="Times New Roman" w:hAnsi="Times New Roman"/>
                              <w:color w:val="231F20"/>
                              <w:sz w:val="17"/>
                              <w:szCs w:val="17"/>
                            </w:rPr>
                            <w:t>Skolas</w:t>
                          </w:r>
                          <w:proofErr w:type="spellEnd"/>
                          <w:r w:rsidRPr="00153879">
                            <w:rPr>
                              <w:rFonts w:ascii="Times New Roman" w:eastAsia="Times New Roman" w:hAnsi="Times New Roman"/>
                              <w:color w:val="231F20"/>
                              <w:sz w:val="17"/>
                              <w:szCs w:val="17"/>
                            </w:rPr>
                            <w:t xml:space="preserve"> </w:t>
                          </w:r>
                          <w:proofErr w:type="spellStart"/>
                          <w:r w:rsidRPr="00153879">
                            <w:rPr>
                              <w:rFonts w:ascii="Times New Roman" w:eastAsia="Times New Roman" w:hAnsi="Times New Roman"/>
                              <w:color w:val="231F20"/>
                              <w:sz w:val="17"/>
                              <w:szCs w:val="17"/>
                            </w:rPr>
                            <w:t>iela</w:t>
                          </w:r>
                          <w:proofErr w:type="spellEnd"/>
                          <w:r w:rsidRPr="00153879">
                            <w:rPr>
                              <w:rFonts w:ascii="Times New Roman" w:eastAsia="Times New Roman" w:hAnsi="Times New Roman"/>
                              <w:color w:val="231F20"/>
                              <w:sz w:val="17"/>
                              <w:szCs w:val="17"/>
                            </w:rPr>
                            <w:t xml:space="preserve"> 28, </w:t>
                          </w:r>
                          <w:proofErr w:type="spellStart"/>
                          <w:r w:rsidRPr="00153879">
                            <w:rPr>
                              <w:rFonts w:ascii="Times New Roman" w:eastAsia="Times New Roman" w:hAnsi="Times New Roman"/>
                              <w:color w:val="231F20"/>
                              <w:sz w:val="17"/>
                              <w:szCs w:val="17"/>
                            </w:rPr>
                            <w:t>Rīga</w:t>
                          </w:r>
                          <w:proofErr w:type="spellEnd"/>
                          <w:r w:rsidRPr="00153879">
                            <w:rPr>
                              <w:rFonts w:ascii="Times New Roman" w:eastAsia="Times New Roman" w:hAnsi="Times New Roman"/>
                              <w:color w:val="231F20"/>
                              <w:sz w:val="17"/>
                              <w:szCs w:val="17"/>
                            </w:rPr>
                            <w:t xml:space="preserve">, LV - 1331, </w:t>
                          </w:r>
                          <w:proofErr w:type="spellStart"/>
                          <w:r w:rsidRPr="00153879">
                            <w:rPr>
                              <w:rFonts w:ascii="Times New Roman" w:eastAsia="Times New Roman" w:hAnsi="Times New Roman"/>
                              <w:color w:val="231F20"/>
                              <w:sz w:val="17"/>
                              <w:szCs w:val="17"/>
                            </w:rPr>
                            <w:t>tālr</w:t>
                          </w:r>
                          <w:proofErr w:type="spellEnd"/>
                          <w:r w:rsidRPr="00153879">
                            <w:rPr>
                              <w:rFonts w:ascii="Times New Roman" w:eastAsia="Times New Roman" w:hAnsi="Times New Roman"/>
                              <w:color w:val="231F20"/>
                              <w:sz w:val="17"/>
                              <w:szCs w:val="17"/>
                            </w:rPr>
                            <w:t xml:space="preserve">. 67021600, </w:t>
                          </w:r>
                          <w:proofErr w:type="spellStart"/>
                          <w:r w:rsidRPr="00153879">
                            <w:rPr>
                              <w:rFonts w:ascii="Times New Roman" w:eastAsia="Times New Roman" w:hAnsi="Times New Roman"/>
                              <w:color w:val="231F20"/>
                              <w:sz w:val="17"/>
                              <w:szCs w:val="17"/>
                            </w:rPr>
                            <w:t>fakss</w:t>
                          </w:r>
                          <w:proofErr w:type="spellEnd"/>
                          <w:r w:rsidRPr="00153879">
                            <w:rPr>
                              <w:rFonts w:ascii="Times New Roman" w:eastAsia="Times New Roman" w:hAnsi="Times New Roman"/>
                              <w:color w:val="231F20"/>
                              <w:sz w:val="17"/>
                              <w:szCs w:val="17"/>
                            </w:rPr>
                            <w:t xml:space="preserve"> 67276445, e-pasts lm@lm.gov.lv, www.lm.gov.lv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4144" filled="f" stroked="f">
              <v:textbox inset="0,0,0,0">
                <w:txbxContent>
                  <w:p w:rsidR="001057B2" w:rsidP="00236649" w14:paraId="05F1DE60" w14:textId="77777777">
                    <w:pPr>
                      <w:spacing w:after="0" w:line="194" w:lineRule="exact"/>
                      <w:ind w:left="20" w:right="-45"/>
                      <w:jc w:val="center"/>
                      <w:rPr>
                        <w:rFonts w:ascii="Times New Roman" w:eastAsia="Times New Roman" w:hAnsi="Times New Roman"/>
                        <w:sz w:val="17"/>
                        <w:szCs w:val="17"/>
                      </w:rPr>
                    </w:pPr>
                    <w:r w:rsidRPr="00153879">
                      <w:rPr>
                        <w:rFonts w:ascii="Times New Roman" w:eastAsia="Times New Roman" w:hAnsi="Times New Roman"/>
                        <w:color w:val="231F20"/>
                        <w:sz w:val="17"/>
                        <w:szCs w:val="17"/>
                      </w:rPr>
                      <w:t>Skolas iela 28, Rīga, LV - 1331, tālr. 67021600, fakss 67276445, e-pasts lm@lm.gov.lv, www.lm.gov.lv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1057B2" w:rsidRDefault="001057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B5620E"/>
    <w:multiLevelType w:val="hybridMultilevel"/>
    <w:tmpl w:val="2710D958"/>
    <w:lvl w:ilvl="0" w:tplc="8E5A8A14">
      <w:start w:val="1"/>
      <w:numFmt w:val="decimal"/>
      <w:lvlText w:val="%1)"/>
      <w:lvlJc w:val="left"/>
      <w:pPr>
        <w:ind w:left="720" w:hanging="360"/>
      </w:pPr>
      <w:rPr>
        <w:rFonts w:cs="Times New Roman" w:hint="default"/>
      </w:rPr>
    </w:lvl>
    <w:lvl w:ilvl="1" w:tplc="CD086C04" w:tentative="1">
      <w:start w:val="1"/>
      <w:numFmt w:val="lowerLetter"/>
      <w:lvlText w:val="%2."/>
      <w:lvlJc w:val="left"/>
      <w:pPr>
        <w:ind w:left="1440" w:hanging="360"/>
      </w:pPr>
      <w:rPr>
        <w:rFonts w:cs="Times New Roman"/>
      </w:rPr>
    </w:lvl>
    <w:lvl w:ilvl="2" w:tplc="6524907A" w:tentative="1">
      <w:start w:val="1"/>
      <w:numFmt w:val="lowerRoman"/>
      <w:lvlText w:val="%3."/>
      <w:lvlJc w:val="right"/>
      <w:pPr>
        <w:ind w:left="2160" w:hanging="180"/>
      </w:pPr>
      <w:rPr>
        <w:rFonts w:cs="Times New Roman"/>
      </w:rPr>
    </w:lvl>
    <w:lvl w:ilvl="3" w:tplc="0522445A" w:tentative="1">
      <w:start w:val="1"/>
      <w:numFmt w:val="decimal"/>
      <w:lvlText w:val="%4."/>
      <w:lvlJc w:val="left"/>
      <w:pPr>
        <w:ind w:left="2880" w:hanging="360"/>
      </w:pPr>
      <w:rPr>
        <w:rFonts w:cs="Times New Roman"/>
      </w:rPr>
    </w:lvl>
    <w:lvl w:ilvl="4" w:tplc="B47807FA" w:tentative="1">
      <w:start w:val="1"/>
      <w:numFmt w:val="lowerLetter"/>
      <w:lvlText w:val="%5."/>
      <w:lvlJc w:val="left"/>
      <w:pPr>
        <w:ind w:left="3600" w:hanging="360"/>
      </w:pPr>
      <w:rPr>
        <w:rFonts w:cs="Times New Roman"/>
      </w:rPr>
    </w:lvl>
    <w:lvl w:ilvl="5" w:tplc="577CAC98" w:tentative="1">
      <w:start w:val="1"/>
      <w:numFmt w:val="lowerRoman"/>
      <w:lvlText w:val="%6."/>
      <w:lvlJc w:val="right"/>
      <w:pPr>
        <w:ind w:left="4320" w:hanging="180"/>
      </w:pPr>
      <w:rPr>
        <w:rFonts w:cs="Times New Roman"/>
      </w:rPr>
    </w:lvl>
    <w:lvl w:ilvl="6" w:tplc="C6926138" w:tentative="1">
      <w:start w:val="1"/>
      <w:numFmt w:val="decimal"/>
      <w:lvlText w:val="%7."/>
      <w:lvlJc w:val="left"/>
      <w:pPr>
        <w:ind w:left="5040" w:hanging="360"/>
      </w:pPr>
      <w:rPr>
        <w:rFonts w:cs="Times New Roman"/>
      </w:rPr>
    </w:lvl>
    <w:lvl w:ilvl="7" w:tplc="094CF49E" w:tentative="1">
      <w:start w:val="1"/>
      <w:numFmt w:val="lowerLetter"/>
      <w:lvlText w:val="%8."/>
      <w:lvlJc w:val="left"/>
      <w:pPr>
        <w:ind w:left="5760" w:hanging="360"/>
      </w:pPr>
      <w:rPr>
        <w:rFonts w:cs="Times New Roman"/>
      </w:rPr>
    </w:lvl>
    <w:lvl w:ilvl="8" w:tplc="D794DE6A"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384D"/>
    <w:rsid w:val="00030349"/>
    <w:rsid w:val="00072B59"/>
    <w:rsid w:val="000B7D81"/>
    <w:rsid w:val="000D7D77"/>
    <w:rsid w:val="001057B2"/>
    <w:rsid w:val="00107DCE"/>
    <w:rsid w:val="00124173"/>
    <w:rsid w:val="00153879"/>
    <w:rsid w:val="001C6FBA"/>
    <w:rsid w:val="002159C9"/>
    <w:rsid w:val="00236649"/>
    <w:rsid w:val="002455DD"/>
    <w:rsid w:val="00275B9E"/>
    <w:rsid w:val="00283420"/>
    <w:rsid w:val="002B2C71"/>
    <w:rsid w:val="002B3077"/>
    <w:rsid w:val="002C5BF6"/>
    <w:rsid w:val="002E1474"/>
    <w:rsid w:val="00335032"/>
    <w:rsid w:val="003A5BD8"/>
    <w:rsid w:val="003E0A1F"/>
    <w:rsid w:val="00445659"/>
    <w:rsid w:val="00452615"/>
    <w:rsid w:val="00457099"/>
    <w:rsid w:val="00480B06"/>
    <w:rsid w:val="00493308"/>
    <w:rsid w:val="004C72F0"/>
    <w:rsid w:val="004E6DD2"/>
    <w:rsid w:val="00535564"/>
    <w:rsid w:val="005C7576"/>
    <w:rsid w:val="005E2710"/>
    <w:rsid w:val="0060523D"/>
    <w:rsid w:val="00632B8C"/>
    <w:rsid w:val="00663C3A"/>
    <w:rsid w:val="00673199"/>
    <w:rsid w:val="006C1639"/>
    <w:rsid w:val="00747CCB"/>
    <w:rsid w:val="00753A86"/>
    <w:rsid w:val="007704BD"/>
    <w:rsid w:val="00783A1D"/>
    <w:rsid w:val="007B3BA5"/>
    <w:rsid w:val="007B48EC"/>
    <w:rsid w:val="007E0890"/>
    <w:rsid w:val="007E4D1F"/>
    <w:rsid w:val="007F0676"/>
    <w:rsid w:val="007F1787"/>
    <w:rsid w:val="007F393E"/>
    <w:rsid w:val="00815277"/>
    <w:rsid w:val="00823A4E"/>
    <w:rsid w:val="00876C21"/>
    <w:rsid w:val="008C0B9D"/>
    <w:rsid w:val="00954D5A"/>
    <w:rsid w:val="0096621C"/>
    <w:rsid w:val="00974F04"/>
    <w:rsid w:val="00AB3678"/>
    <w:rsid w:val="00AE4838"/>
    <w:rsid w:val="00AF0D2C"/>
    <w:rsid w:val="00AF35BB"/>
    <w:rsid w:val="00AF60F1"/>
    <w:rsid w:val="00B41187"/>
    <w:rsid w:val="00B62088"/>
    <w:rsid w:val="00B80655"/>
    <w:rsid w:val="00BF097F"/>
    <w:rsid w:val="00C47F57"/>
    <w:rsid w:val="00C67CF2"/>
    <w:rsid w:val="00C91D24"/>
    <w:rsid w:val="00CA7FB1"/>
    <w:rsid w:val="00CE2BA7"/>
    <w:rsid w:val="00CF6852"/>
    <w:rsid w:val="00D012DE"/>
    <w:rsid w:val="00D103BD"/>
    <w:rsid w:val="00D21FA6"/>
    <w:rsid w:val="00D35948"/>
    <w:rsid w:val="00D35CF4"/>
    <w:rsid w:val="00D47DA1"/>
    <w:rsid w:val="00D55B4B"/>
    <w:rsid w:val="00D7767E"/>
    <w:rsid w:val="00E10B30"/>
    <w:rsid w:val="00E23DE7"/>
    <w:rsid w:val="00E365CE"/>
    <w:rsid w:val="00E64D67"/>
    <w:rsid w:val="00EB03C2"/>
    <w:rsid w:val="00F340ED"/>
    <w:rsid w:val="00F60586"/>
    <w:rsid w:val="00FA371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FED7-E7CF-432A-AA6E-929E2CAF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pPr>
      <w:spacing w:line="240" w:lineRule="auto"/>
    </w:pPr>
    <w:rPr>
      <w:sz w:val="20"/>
      <w:szCs w:val="20"/>
    </w:rPr>
  </w:style>
  <w:style w:type="character" w:customStyle="1" w:styleId="CommentTextChar">
    <w:name w:val="Comment Text Char"/>
    <w:basedOn w:val="DefaultParagraphFont"/>
    <w:link w:val="CommentText"/>
    <w:uiPriority w:val="99"/>
    <w:semiHidden/>
    <w:rsid w:val="00D012DE"/>
    <w:rPr>
      <w:lang w:val="en-US" w:eastAsia="en-US"/>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lang w:val="en-US" w:eastAsia="en-US"/>
    </w:rPr>
  </w:style>
  <w:style w:type="paragraph" w:styleId="FootnoteText">
    <w:name w:val="footnote text"/>
    <w:basedOn w:val="Normal"/>
    <w:link w:val="FootnoteTextChar"/>
    <w:uiPriority w:val="99"/>
    <w:semiHidden/>
    <w:unhideWhenUsed/>
    <w:rsid w:val="00105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7B2"/>
    <w:rPr>
      <w:lang w:val="en-US" w:eastAsia="en-US"/>
    </w:rPr>
  </w:style>
  <w:style w:type="character" w:styleId="FootnoteReference">
    <w:name w:val="footnote reference"/>
    <w:aliases w:val="BVI fnr,E,E FNZ,Footnote Reference Number,Footnote Reference Superscript,Footnote Refernece,Footnote symbFootnote Refernece,Footnote symbol,Footnotes refss,Fußnotenzeichen_Raxen,Odwołanie przypisu,Ref,SUPERS,callout,fr,ftref,stylish"/>
    <w:basedOn w:val="DefaultParagraphFont"/>
    <w:uiPriority w:val="99"/>
    <w:unhideWhenUsed/>
    <w:qFormat/>
    <w:rsid w:val="00105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ija.kula@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na.Klimone@lm.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8E97-9D10-4FE0-8E42-CAA9EFA6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4247</Words>
  <Characters>2421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2023-11-10T12:37:00Z</dcterms:created>
  <dcterms:modified xsi:type="dcterms:W3CDTF">2023-11-10T12:37:00Z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