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38D0" w14:textId="5F61D1A1" w:rsidR="002703DD" w:rsidRPr="00723680" w:rsidRDefault="002703DD" w:rsidP="002703DD">
      <w:pPr>
        <w:widowControl w:val="0"/>
        <w:spacing w:after="60" w:line="240" w:lineRule="atLeast"/>
        <w:jc w:val="right"/>
        <w:rPr>
          <w:rFonts w:ascii="Times New Roman" w:hAnsi="Times New Roman" w:cs="Times New Roman"/>
          <w:sz w:val="28"/>
          <w:szCs w:val="28"/>
        </w:rPr>
      </w:pPr>
      <w:bookmarkStart w:id="0" w:name="_GoBack"/>
      <w:bookmarkEnd w:id="0"/>
      <w:r w:rsidRPr="00723680">
        <w:rPr>
          <w:rFonts w:ascii="Times New Roman" w:hAnsi="Times New Roman" w:cs="Times New Roman"/>
          <w:sz w:val="28"/>
          <w:szCs w:val="28"/>
        </w:rPr>
        <w:t>(Ministru kabineta</w:t>
      </w:r>
      <w:r w:rsidRPr="00723680">
        <w:rPr>
          <w:rFonts w:ascii="Times New Roman" w:hAnsi="Times New Roman" w:cs="Times New Roman"/>
          <w:sz w:val="28"/>
          <w:szCs w:val="28"/>
        </w:rPr>
        <w:br/>
        <w:t>202</w:t>
      </w:r>
      <w:r>
        <w:rPr>
          <w:rFonts w:ascii="Times New Roman" w:hAnsi="Times New Roman" w:cs="Times New Roman"/>
          <w:sz w:val="28"/>
          <w:szCs w:val="28"/>
        </w:rPr>
        <w:t>4</w:t>
      </w:r>
      <w:r w:rsidRPr="00723680">
        <w:rPr>
          <w:rFonts w:ascii="Times New Roman" w:hAnsi="Times New Roman" w:cs="Times New Roman"/>
          <w:sz w:val="28"/>
          <w:szCs w:val="28"/>
        </w:rPr>
        <w:t>. gada ___. __________</w:t>
      </w:r>
      <w:r w:rsidRPr="00723680">
        <w:rPr>
          <w:rFonts w:ascii="Times New Roman" w:hAnsi="Times New Roman" w:cs="Times New Roman"/>
          <w:sz w:val="28"/>
          <w:szCs w:val="28"/>
        </w:rPr>
        <w:br/>
        <w:t>rīkojums Nr. ____)</w:t>
      </w:r>
    </w:p>
    <w:p w14:paraId="7FCD75E6"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0830FFF4"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5AD7EFCF"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2917AC92"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0C4424C0"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2D4286B5"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6C36A6FE" w14:textId="77777777" w:rsidR="002703DD" w:rsidRPr="00723680" w:rsidRDefault="002703DD" w:rsidP="002703DD">
      <w:pPr>
        <w:widowControl w:val="0"/>
        <w:spacing w:after="60" w:line="240" w:lineRule="atLeast"/>
        <w:rPr>
          <w:rFonts w:ascii="Times New Roman" w:hAnsi="Times New Roman" w:cs="Times New Roman"/>
          <w:sz w:val="48"/>
          <w:szCs w:val="32"/>
        </w:rPr>
      </w:pPr>
    </w:p>
    <w:p w14:paraId="07B144EE"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36AE0C3E"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4E187FB0" w14:textId="77777777" w:rsidR="002703DD" w:rsidRPr="00723680" w:rsidRDefault="002703DD" w:rsidP="002703DD">
      <w:pPr>
        <w:widowControl w:val="0"/>
        <w:spacing w:after="60" w:line="240" w:lineRule="atLeast"/>
        <w:jc w:val="center"/>
        <w:rPr>
          <w:rFonts w:ascii="Times New Roman" w:hAnsi="Times New Roman" w:cs="Times New Roman"/>
          <w:sz w:val="48"/>
          <w:szCs w:val="32"/>
        </w:rPr>
      </w:pPr>
    </w:p>
    <w:p w14:paraId="62AC1CF1" w14:textId="77777777" w:rsidR="00555413" w:rsidRDefault="002703DD" w:rsidP="002703DD">
      <w:pPr>
        <w:jc w:val="center"/>
        <w:rPr>
          <w:rFonts w:ascii="Times New Roman" w:hAnsi="Times New Roman" w:cs="Times New Roman"/>
          <w:sz w:val="48"/>
          <w:szCs w:val="32"/>
        </w:rPr>
      </w:pPr>
      <w:r w:rsidRPr="00723680">
        <w:rPr>
          <w:rFonts w:ascii="Times New Roman" w:hAnsi="Times New Roman" w:cs="Times New Roman"/>
          <w:sz w:val="48"/>
          <w:szCs w:val="32"/>
        </w:rPr>
        <w:t>Plāns sieviešu un vīriešu vienlīdzīgu tiesību un iespēju veicināšanai 202</w:t>
      </w:r>
      <w:r>
        <w:rPr>
          <w:rFonts w:ascii="Times New Roman" w:hAnsi="Times New Roman" w:cs="Times New Roman"/>
          <w:sz w:val="48"/>
          <w:szCs w:val="32"/>
        </w:rPr>
        <w:t>4</w:t>
      </w:r>
      <w:r w:rsidRPr="00723680">
        <w:rPr>
          <w:rFonts w:ascii="Times New Roman" w:hAnsi="Times New Roman" w:cs="Times New Roman"/>
          <w:sz w:val="48"/>
          <w:szCs w:val="32"/>
        </w:rPr>
        <w:t>.-202</w:t>
      </w:r>
      <w:r>
        <w:rPr>
          <w:rFonts w:ascii="Times New Roman" w:hAnsi="Times New Roman" w:cs="Times New Roman"/>
          <w:sz w:val="48"/>
          <w:szCs w:val="32"/>
        </w:rPr>
        <w:t>7</w:t>
      </w:r>
      <w:r w:rsidRPr="00723680">
        <w:rPr>
          <w:rFonts w:ascii="Times New Roman" w:hAnsi="Times New Roman" w:cs="Times New Roman"/>
          <w:sz w:val="48"/>
          <w:szCs w:val="32"/>
        </w:rPr>
        <w:t>.gadam</w:t>
      </w:r>
    </w:p>
    <w:p w14:paraId="323A5883" w14:textId="77777777" w:rsidR="00555413" w:rsidRDefault="00555413" w:rsidP="002703DD">
      <w:pPr>
        <w:jc w:val="center"/>
        <w:rPr>
          <w:rFonts w:ascii="Times New Roman" w:hAnsi="Times New Roman" w:cs="Times New Roman"/>
          <w:sz w:val="48"/>
          <w:szCs w:val="32"/>
        </w:rPr>
      </w:pPr>
    </w:p>
    <w:p w14:paraId="732C920B" w14:textId="77777777" w:rsidR="00555413" w:rsidRDefault="00555413" w:rsidP="002703DD">
      <w:pPr>
        <w:jc w:val="center"/>
        <w:rPr>
          <w:rFonts w:ascii="Times New Roman" w:hAnsi="Times New Roman" w:cs="Times New Roman"/>
          <w:sz w:val="48"/>
          <w:szCs w:val="32"/>
        </w:rPr>
      </w:pPr>
    </w:p>
    <w:p w14:paraId="5EE7B0E1" w14:textId="77777777" w:rsidR="00555413" w:rsidRDefault="00555413" w:rsidP="002703DD">
      <w:pPr>
        <w:jc w:val="center"/>
        <w:rPr>
          <w:rFonts w:ascii="Times New Roman" w:hAnsi="Times New Roman" w:cs="Times New Roman"/>
          <w:sz w:val="48"/>
          <w:szCs w:val="32"/>
        </w:rPr>
      </w:pPr>
    </w:p>
    <w:p w14:paraId="454D3DDC" w14:textId="77777777" w:rsidR="00555413" w:rsidRDefault="00555413" w:rsidP="002703DD">
      <w:pPr>
        <w:jc w:val="center"/>
        <w:rPr>
          <w:rFonts w:ascii="Times New Roman" w:hAnsi="Times New Roman" w:cs="Times New Roman"/>
          <w:sz w:val="48"/>
          <w:szCs w:val="32"/>
        </w:rPr>
      </w:pPr>
    </w:p>
    <w:p w14:paraId="3B7FD122" w14:textId="77777777" w:rsidR="00555413" w:rsidRDefault="00555413" w:rsidP="002703DD">
      <w:pPr>
        <w:jc w:val="center"/>
        <w:rPr>
          <w:rFonts w:ascii="Times New Roman" w:hAnsi="Times New Roman" w:cs="Times New Roman"/>
          <w:sz w:val="48"/>
          <w:szCs w:val="32"/>
        </w:rPr>
      </w:pPr>
    </w:p>
    <w:p w14:paraId="4099855E" w14:textId="77777777" w:rsidR="00555413" w:rsidRDefault="00555413" w:rsidP="00555413">
      <w:pPr>
        <w:jc w:val="center"/>
        <w:rPr>
          <w:rFonts w:ascii="Times New Roman" w:hAnsi="Times New Roman" w:cs="Times New Roman"/>
          <w:sz w:val="48"/>
          <w:szCs w:val="32"/>
        </w:rPr>
      </w:pPr>
    </w:p>
    <w:p w14:paraId="405502E2" w14:textId="77777777" w:rsidR="00555413" w:rsidRDefault="00555413" w:rsidP="00555413">
      <w:pPr>
        <w:jc w:val="center"/>
        <w:rPr>
          <w:rFonts w:ascii="Times New Roman" w:hAnsi="Times New Roman" w:cs="Times New Roman"/>
          <w:sz w:val="48"/>
          <w:szCs w:val="32"/>
        </w:rPr>
      </w:pPr>
    </w:p>
    <w:p w14:paraId="3186CD5C" w14:textId="5C9E4F4C" w:rsidR="00555413" w:rsidRDefault="00555413" w:rsidP="00555413">
      <w:pPr>
        <w:jc w:val="center"/>
        <w:rPr>
          <w:rFonts w:ascii="Times New Roman" w:hAnsi="Times New Roman" w:cs="Times New Roman"/>
          <w:sz w:val="48"/>
          <w:szCs w:val="32"/>
        </w:rPr>
      </w:pPr>
      <w:r>
        <w:rPr>
          <w:rFonts w:ascii="Times New Roman" w:hAnsi="Times New Roman" w:cs="Times New Roman"/>
          <w:sz w:val="48"/>
          <w:szCs w:val="32"/>
        </w:rPr>
        <w:t>2023</w:t>
      </w:r>
    </w:p>
    <w:p w14:paraId="36F80C33" w14:textId="3F4B015B" w:rsidR="00DB7F18" w:rsidRDefault="00DB7F18" w:rsidP="002703DD">
      <w:pPr>
        <w:jc w:val="center"/>
        <w:rPr>
          <w:rFonts w:ascii="Times New Roman" w:hAnsi="Times New Roman" w:cs="Times New Roman"/>
          <w:sz w:val="48"/>
          <w:szCs w:val="32"/>
        </w:rPr>
      </w:pPr>
      <w:r>
        <w:rPr>
          <w:rFonts w:ascii="Times New Roman" w:hAnsi="Times New Roman" w:cs="Times New Roman"/>
          <w:sz w:val="48"/>
          <w:szCs w:val="32"/>
        </w:rPr>
        <w:br w:type="page"/>
      </w:r>
    </w:p>
    <w:p w14:paraId="7ABF9B6A" w14:textId="77777777" w:rsidR="004D2155" w:rsidRPr="00723680" w:rsidRDefault="004D2155" w:rsidP="004D2155">
      <w:pPr>
        <w:pStyle w:val="Heading1"/>
        <w:keepNext w:val="0"/>
        <w:keepLines w:val="0"/>
        <w:widowControl w:val="0"/>
        <w:spacing w:after="60" w:line="240" w:lineRule="atLeast"/>
        <w:jc w:val="center"/>
        <w:rPr>
          <w:rFonts w:ascii="Times New Roman" w:hAnsi="Times New Roman" w:cs="Times New Roman"/>
          <w:b/>
          <w:color w:val="auto"/>
          <w:sz w:val="28"/>
          <w:szCs w:val="28"/>
        </w:rPr>
      </w:pPr>
      <w:bookmarkStart w:id="1" w:name="_Toc71256745"/>
      <w:r w:rsidRPr="00723680">
        <w:rPr>
          <w:rFonts w:ascii="Times New Roman" w:hAnsi="Times New Roman" w:cs="Times New Roman"/>
          <w:b/>
          <w:color w:val="auto"/>
          <w:sz w:val="28"/>
          <w:szCs w:val="28"/>
        </w:rPr>
        <w:lastRenderedPageBreak/>
        <w:t>Lietotie saīsinājumi</w:t>
      </w:r>
      <w:bookmarkEnd w:id="1"/>
    </w:p>
    <w:p w14:paraId="23BA2606" w14:textId="77777777" w:rsidR="004D2155" w:rsidRPr="00723680" w:rsidRDefault="004D2155" w:rsidP="004D2155">
      <w:pPr>
        <w:widowControl w:val="0"/>
        <w:spacing w:after="60" w:line="240" w:lineRule="atLeast"/>
        <w:rPr>
          <w:rFonts w:ascii="Times New Roman" w:hAnsi="Times New Roman" w:cs="Times New Roman"/>
        </w:rPr>
      </w:pPr>
    </w:p>
    <w:tbl>
      <w:tblPr>
        <w:tblStyle w:val="TableGrid"/>
        <w:tblW w:w="9828" w:type="dxa"/>
        <w:tblLook w:val="04A0" w:firstRow="1" w:lastRow="0" w:firstColumn="1" w:lastColumn="0" w:noHBand="0" w:noVBand="1"/>
      </w:tblPr>
      <w:tblGrid>
        <w:gridCol w:w="1985"/>
        <w:gridCol w:w="7843"/>
      </w:tblGrid>
      <w:tr w:rsidR="004D2155" w:rsidRPr="00723680" w14:paraId="14B4EDD5" w14:textId="77777777" w:rsidTr="0067717E">
        <w:tc>
          <w:tcPr>
            <w:tcW w:w="1985" w:type="dxa"/>
          </w:tcPr>
          <w:p w14:paraId="506030EC"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ANO</w:t>
            </w:r>
          </w:p>
        </w:tc>
        <w:tc>
          <w:tcPr>
            <w:tcW w:w="7843" w:type="dxa"/>
          </w:tcPr>
          <w:p w14:paraId="1541B477" w14:textId="13594940"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 xml:space="preserve"> Apvienoto Nāciju Organizācija</w:t>
            </w:r>
          </w:p>
        </w:tc>
      </w:tr>
      <w:tr w:rsidR="0095314B" w:rsidRPr="00723680" w14:paraId="3D18DBD7" w14:textId="77777777" w:rsidTr="004D2155">
        <w:tc>
          <w:tcPr>
            <w:tcW w:w="1985" w:type="dxa"/>
          </w:tcPr>
          <w:p w14:paraId="29806534" w14:textId="60692B2F" w:rsidR="0095314B" w:rsidRPr="00723680" w:rsidRDefault="0095314B" w:rsidP="004251AE">
            <w:pPr>
              <w:widowControl w:val="0"/>
              <w:spacing w:after="60" w:line="240" w:lineRule="atLeast"/>
              <w:jc w:val="right"/>
              <w:rPr>
                <w:rFonts w:ascii="Times New Roman" w:hAnsi="Times New Roman" w:cs="Times New Roman"/>
              </w:rPr>
            </w:pPr>
            <w:r>
              <w:rPr>
                <w:rFonts w:ascii="Times New Roman" w:hAnsi="Times New Roman" w:cs="Times New Roman"/>
              </w:rPr>
              <w:t>ĀM</w:t>
            </w:r>
          </w:p>
        </w:tc>
        <w:tc>
          <w:tcPr>
            <w:tcW w:w="7843" w:type="dxa"/>
          </w:tcPr>
          <w:p w14:paraId="3DB753DB" w14:textId="4E1A73AD" w:rsidR="0095314B" w:rsidRPr="00A25874" w:rsidRDefault="0095314B" w:rsidP="0034710F">
            <w:pPr>
              <w:pStyle w:val="ListParagraph"/>
              <w:widowControl w:val="0"/>
              <w:numPr>
                <w:ilvl w:val="0"/>
                <w:numId w:val="8"/>
              </w:numPr>
              <w:spacing w:after="60" w:line="240" w:lineRule="atLeast"/>
              <w:jc w:val="both"/>
              <w:rPr>
                <w:rFonts w:ascii="Times New Roman" w:hAnsi="Times New Roman" w:cs="Times New Roman"/>
              </w:rPr>
            </w:pPr>
            <w:r>
              <w:rPr>
                <w:rFonts w:ascii="Times New Roman" w:hAnsi="Times New Roman" w:cs="Times New Roman"/>
              </w:rPr>
              <w:t>Ārlietu ministrija</w:t>
            </w:r>
          </w:p>
        </w:tc>
      </w:tr>
      <w:tr w:rsidR="00960324" w:rsidRPr="00723680" w14:paraId="2CB848AF" w14:textId="77777777" w:rsidTr="004D2155">
        <w:tc>
          <w:tcPr>
            <w:tcW w:w="1985" w:type="dxa"/>
          </w:tcPr>
          <w:p w14:paraId="7BBE7D0C" w14:textId="36CE8D86" w:rsidR="00960324" w:rsidRDefault="00960324" w:rsidP="004251AE">
            <w:pPr>
              <w:widowControl w:val="0"/>
              <w:spacing w:after="60" w:line="240" w:lineRule="atLeast"/>
              <w:jc w:val="right"/>
              <w:rPr>
                <w:rFonts w:ascii="Times New Roman" w:hAnsi="Times New Roman" w:cs="Times New Roman"/>
              </w:rPr>
            </w:pPr>
            <w:r>
              <w:rPr>
                <w:rFonts w:ascii="Times New Roman" w:hAnsi="Times New Roman" w:cs="Times New Roman"/>
              </w:rPr>
              <w:t>AiM</w:t>
            </w:r>
          </w:p>
        </w:tc>
        <w:tc>
          <w:tcPr>
            <w:tcW w:w="7843" w:type="dxa"/>
          </w:tcPr>
          <w:p w14:paraId="55D02214" w14:textId="4BC2C33F" w:rsidR="00960324" w:rsidRDefault="00B42EF3" w:rsidP="0034710F">
            <w:pPr>
              <w:pStyle w:val="ListParagraph"/>
              <w:widowControl w:val="0"/>
              <w:numPr>
                <w:ilvl w:val="0"/>
                <w:numId w:val="8"/>
              </w:numPr>
              <w:spacing w:after="60" w:line="240" w:lineRule="atLeast"/>
              <w:jc w:val="both"/>
              <w:rPr>
                <w:rFonts w:ascii="Times New Roman" w:hAnsi="Times New Roman" w:cs="Times New Roman"/>
              </w:rPr>
            </w:pPr>
            <w:r>
              <w:rPr>
                <w:rFonts w:ascii="Times New Roman" w:hAnsi="Times New Roman" w:cs="Times New Roman"/>
              </w:rPr>
              <w:t>Aizsardzības ministrija</w:t>
            </w:r>
          </w:p>
        </w:tc>
      </w:tr>
      <w:tr w:rsidR="004D2155" w:rsidRPr="00723680" w14:paraId="5D4AF62D" w14:textId="77777777" w:rsidTr="0067717E">
        <w:tc>
          <w:tcPr>
            <w:tcW w:w="1985" w:type="dxa"/>
          </w:tcPr>
          <w:p w14:paraId="7C14CB7C"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CSP</w:t>
            </w:r>
          </w:p>
        </w:tc>
        <w:tc>
          <w:tcPr>
            <w:tcW w:w="7843" w:type="dxa"/>
          </w:tcPr>
          <w:p w14:paraId="44CF3C59" w14:textId="3E755FB3"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Centrālā statistikas pārvalde</w:t>
            </w:r>
          </w:p>
        </w:tc>
      </w:tr>
      <w:tr w:rsidR="004D2155" w:rsidRPr="00723680" w14:paraId="1E11783E" w14:textId="77777777" w:rsidTr="0067717E">
        <w:tc>
          <w:tcPr>
            <w:tcW w:w="1985" w:type="dxa"/>
          </w:tcPr>
          <w:p w14:paraId="1FD30001"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EK</w:t>
            </w:r>
          </w:p>
        </w:tc>
        <w:tc>
          <w:tcPr>
            <w:tcW w:w="7843" w:type="dxa"/>
          </w:tcPr>
          <w:p w14:paraId="7CB3F02A" w14:textId="5F3C4178"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 xml:space="preserve"> Eiropas Komisija</w:t>
            </w:r>
          </w:p>
        </w:tc>
      </w:tr>
      <w:tr w:rsidR="00A06B5F" w:rsidRPr="00723680" w14:paraId="6BFA2CA8" w14:textId="77777777" w:rsidTr="004D2155">
        <w:tc>
          <w:tcPr>
            <w:tcW w:w="1985" w:type="dxa"/>
          </w:tcPr>
          <w:p w14:paraId="5E8DA133" w14:textId="705CB69C" w:rsidR="00A06B5F" w:rsidRPr="00723680" w:rsidRDefault="00A06B5F" w:rsidP="004251AE">
            <w:pPr>
              <w:widowControl w:val="0"/>
              <w:spacing w:after="60" w:line="240" w:lineRule="atLeast"/>
              <w:jc w:val="right"/>
              <w:rPr>
                <w:rFonts w:ascii="Times New Roman" w:hAnsi="Times New Roman" w:cs="Times New Roman"/>
              </w:rPr>
            </w:pPr>
            <w:r>
              <w:rPr>
                <w:rFonts w:ascii="Times New Roman" w:hAnsi="Times New Roman" w:cs="Times New Roman"/>
              </w:rPr>
              <w:t>EM</w:t>
            </w:r>
          </w:p>
        </w:tc>
        <w:tc>
          <w:tcPr>
            <w:tcW w:w="7843" w:type="dxa"/>
          </w:tcPr>
          <w:p w14:paraId="7A6E13CA" w14:textId="26CF0A6C" w:rsidR="00A06B5F" w:rsidRPr="00A25874" w:rsidRDefault="00A06B5F" w:rsidP="0034710F">
            <w:pPr>
              <w:pStyle w:val="ListParagraph"/>
              <w:widowControl w:val="0"/>
              <w:numPr>
                <w:ilvl w:val="0"/>
                <w:numId w:val="8"/>
              </w:numPr>
              <w:spacing w:after="60" w:line="240" w:lineRule="atLeast"/>
              <w:jc w:val="both"/>
              <w:rPr>
                <w:rFonts w:ascii="Times New Roman" w:hAnsi="Times New Roman" w:cs="Times New Roman"/>
              </w:rPr>
            </w:pPr>
            <w:r>
              <w:rPr>
                <w:rFonts w:ascii="Times New Roman" w:hAnsi="Times New Roman" w:cs="Times New Roman"/>
              </w:rPr>
              <w:t>Ekonomikas ministrija</w:t>
            </w:r>
          </w:p>
        </w:tc>
      </w:tr>
      <w:tr w:rsidR="004D2155" w:rsidRPr="00723680" w14:paraId="4FA9B020" w14:textId="77777777" w:rsidTr="0067717E">
        <w:tc>
          <w:tcPr>
            <w:tcW w:w="1985" w:type="dxa"/>
          </w:tcPr>
          <w:p w14:paraId="5202672B"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EP</w:t>
            </w:r>
          </w:p>
        </w:tc>
        <w:tc>
          <w:tcPr>
            <w:tcW w:w="7843" w:type="dxa"/>
          </w:tcPr>
          <w:p w14:paraId="413CAC45" w14:textId="6C64A8D7"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Eiropas Padome</w:t>
            </w:r>
          </w:p>
        </w:tc>
      </w:tr>
      <w:tr w:rsidR="004D2155" w:rsidRPr="00723680" w14:paraId="649C54D9" w14:textId="77777777" w:rsidTr="0067717E">
        <w:tc>
          <w:tcPr>
            <w:tcW w:w="1985" w:type="dxa"/>
          </w:tcPr>
          <w:p w14:paraId="3BD6AC65"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ES</w:t>
            </w:r>
          </w:p>
        </w:tc>
        <w:tc>
          <w:tcPr>
            <w:tcW w:w="7843" w:type="dxa"/>
          </w:tcPr>
          <w:p w14:paraId="35A06054" w14:textId="388CB926"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Eiropas Savienība</w:t>
            </w:r>
          </w:p>
        </w:tc>
      </w:tr>
      <w:tr w:rsidR="004D2155" w:rsidRPr="00723680" w14:paraId="30E5B18B" w14:textId="77777777" w:rsidTr="0067717E">
        <w:tc>
          <w:tcPr>
            <w:tcW w:w="1985" w:type="dxa"/>
          </w:tcPr>
          <w:p w14:paraId="5C6FFCF8"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ESF</w:t>
            </w:r>
          </w:p>
        </w:tc>
        <w:tc>
          <w:tcPr>
            <w:tcW w:w="7843" w:type="dxa"/>
          </w:tcPr>
          <w:p w14:paraId="4F48A4C3" w14:textId="2A79D509"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Eiropas Sociālais fonds</w:t>
            </w:r>
          </w:p>
        </w:tc>
      </w:tr>
      <w:tr w:rsidR="004D2155" w:rsidRPr="00723680" w14:paraId="1C84DA8D" w14:textId="77777777" w:rsidTr="0067717E">
        <w:tc>
          <w:tcPr>
            <w:tcW w:w="1985" w:type="dxa"/>
          </w:tcPr>
          <w:p w14:paraId="76D90021"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FM</w:t>
            </w:r>
          </w:p>
        </w:tc>
        <w:tc>
          <w:tcPr>
            <w:tcW w:w="7843" w:type="dxa"/>
          </w:tcPr>
          <w:p w14:paraId="7DE6DBA2" w14:textId="0909A7C9"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Finanšu ministrija</w:t>
            </w:r>
          </w:p>
        </w:tc>
      </w:tr>
      <w:tr w:rsidR="004D2155" w:rsidRPr="00723680" w14:paraId="75B38FED" w14:textId="77777777" w:rsidTr="0067717E">
        <w:tc>
          <w:tcPr>
            <w:tcW w:w="1985" w:type="dxa"/>
          </w:tcPr>
          <w:p w14:paraId="2FC12113"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IeM</w:t>
            </w:r>
          </w:p>
        </w:tc>
        <w:tc>
          <w:tcPr>
            <w:tcW w:w="7843" w:type="dxa"/>
          </w:tcPr>
          <w:p w14:paraId="1F1EA52E" w14:textId="0A2672D8" w:rsidR="004D2155" w:rsidRPr="0067717E" w:rsidRDefault="004D2155" w:rsidP="0067717E">
            <w:pPr>
              <w:pStyle w:val="ListParagraph"/>
              <w:widowControl w:val="0"/>
              <w:numPr>
                <w:ilvl w:val="0"/>
                <w:numId w:val="8"/>
              </w:numPr>
              <w:spacing w:after="60" w:line="240" w:lineRule="atLeast"/>
              <w:jc w:val="both"/>
              <w:rPr>
                <w:rFonts w:ascii="Times New Roman" w:hAnsi="Times New Roman" w:cs="Times New Roman"/>
              </w:rPr>
            </w:pPr>
            <w:r w:rsidRPr="0067717E">
              <w:rPr>
                <w:rFonts w:ascii="Times New Roman" w:hAnsi="Times New Roman" w:cs="Times New Roman"/>
              </w:rPr>
              <w:t>Iekšlietu ministrija</w:t>
            </w:r>
          </w:p>
        </w:tc>
      </w:tr>
      <w:tr w:rsidR="00863B94" w:rsidRPr="00723680" w14:paraId="29927313" w14:textId="77777777" w:rsidTr="004D2155">
        <w:tc>
          <w:tcPr>
            <w:tcW w:w="1985" w:type="dxa"/>
          </w:tcPr>
          <w:p w14:paraId="695F3C00" w14:textId="290F7D33" w:rsidR="00863B94" w:rsidRPr="00723680" w:rsidRDefault="00863B94" w:rsidP="004251AE">
            <w:pPr>
              <w:widowControl w:val="0"/>
              <w:spacing w:after="60" w:line="240" w:lineRule="atLeast"/>
              <w:jc w:val="right"/>
              <w:rPr>
                <w:rFonts w:ascii="Times New Roman" w:hAnsi="Times New Roman" w:cs="Times New Roman"/>
              </w:rPr>
            </w:pPr>
            <w:r>
              <w:rPr>
                <w:rFonts w:ascii="Times New Roman" w:hAnsi="Times New Roman" w:cs="Times New Roman"/>
              </w:rPr>
              <w:t>IKVD</w:t>
            </w:r>
          </w:p>
        </w:tc>
        <w:tc>
          <w:tcPr>
            <w:tcW w:w="7843" w:type="dxa"/>
          </w:tcPr>
          <w:p w14:paraId="058DBCD9" w14:textId="3942ACD1" w:rsidR="00863B94" w:rsidRPr="0067717E" w:rsidRDefault="0034710F" w:rsidP="0067717E">
            <w:pPr>
              <w:pStyle w:val="ListParagraph"/>
              <w:widowControl w:val="0"/>
              <w:numPr>
                <w:ilvl w:val="0"/>
                <w:numId w:val="7"/>
              </w:numPr>
              <w:spacing w:after="60" w:line="240" w:lineRule="atLeast"/>
              <w:jc w:val="both"/>
              <w:rPr>
                <w:rFonts w:ascii="Times New Roman" w:hAnsi="Times New Roman" w:cs="Times New Roman"/>
              </w:rPr>
            </w:pPr>
            <w:r>
              <w:rPr>
                <w:rFonts w:ascii="Times New Roman" w:hAnsi="Times New Roman" w:cs="Times New Roman"/>
              </w:rPr>
              <w:t>Izglītības kvalitātes valsts dienests</w:t>
            </w:r>
          </w:p>
        </w:tc>
      </w:tr>
      <w:tr w:rsidR="004D2155" w:rsidRPr="00723680" w14:paraId="61409BC9" w14:textId="77777777" w:rsidTr="0067717E">
        <w:tc>
          <w:tcPr>
            <w:tcW w:w="1985" w:type="dxa"/>
          </w:tcPr>
          <w:p w14:paraId="04A57C79"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IZM</w:t>
            </w:r>
          </w:p>
        </w:tc>
        <w:tc>
          <w:tcPr>
            <w:tcW w:w="7843" w:type="dxa"/>
          </w:tcPr>
          <w:p w14:paraId="5BA4EDB8" w14:textId="27C74E1F"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Izglītības un zinātnes ministrija</w:t>
            </w:r>
          </w:p>
        </w:tc>
      </w:tr>
      <w:tr w:rsidR="004D2155" w:rsidRPr="00723680" w14:paraId="5492B3E6" w14:textId="77777777" w:rsidTr="0067717E">
        <w:tc>
          <w:tcPr>
            <w:tcW w:w="1985" w:type="dxa"/>
          </w:tcPr>
          <w:p w14:paraId="1483096D"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JSPA</w:t>
            </w:r>
          </w:p>
        </w:tc>
        <w:tc>
          <w:tcPr>
            <w:tcW w:w="7843" w:type="dxa"/>
          </w:tcPr>
          <w:p w14:paraId="020D556C" w14:textId="06921895"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Jaunatnes starptautisko programmu aģentūra</w:t>
            </w:r>
          </w:p>
        </w:tc>
      </w:tr>
      <w:tr w:rsidR="008762F6" w:rsidRPr="00723680" w14:paraId="747CE101" w14:textId="77777777" w:rsidTr="004D2155">
        <w:tc>
          <w:tcPr>
            <w:tcW w:w="1985" w:type="dxa"/>
          </w:tcPr>
          <w:p w14:paraId="3792D7A3" w14:textId="2D2D23A5" w:rsidR="008762F6" w:rsidRPr="00723680" w:rsidRDefault="008762F6" w:rsidP="004251AE">
            <w:pPr>
              <w:widowControl w:val="0"/>
              <w:spacing w:after="60" w:line="240" w:lineRule="atLeast"/>
              <w:jc w:val="right"/>
              <w:rPr>
                <w:rFonts w:ascii="Times New Roman" w:hAnsi="Times New Roman" w:cs="Times New Roman"/>
              </w:rPr>
            </w:pPr>
            <w:r>
              <w:rPr>
                <w:rFonts w:ascii="Times New Roman" w:hAnsi="Times New Roman" w:cs="Times New Roman"/>
              </w:rPr>
              <w:t>KEM</w:t>
            </w:r>
          </w:p>
        </w:tc>
        <w:tc>
          <w:tcPr>
            <w:tcW w:w="7843" w:type="dxa"/>
          </w:tcPr>
          <w:p w14:paraId="1767643B" w14:textId="62163F63" w:rsidR="008762F6" w:rsidRPr="00A25874" w:rsidRDefault="008762F6" w:rsidP="00885BCF">
            <w:pPr>
              <w:pStyle w:val="ListParagraph"/>
              <w:widowControl w:val="0"/>
              <w:numPr>
                <w:ilvl w:val="0"/>
                <w:numId w:val="7"/>
              </w:numPr>
              <w:spacing w:after="60" w:line="240" w:lineRule="atLeast"/>
              <w:jc w:val="both"/>
              <w:rPr>
                <w:rFonts w:ascii="Times New Roman" w:hAnsi="Times New Roman" w:cs="Times New Roman"/>
              </w:rPr>
            </w:pPr>
            <w:r>
              <w:rPr>
                <w:rFonts w:ascii="Times New Roman" w:hAnsi="Times New Roman" w:cs="Times New Roman"/>
              </w:rPr>
              <w:t>Klimata un enerģētikas ministrija</w:t>
            </w:r>
          </w:p>
        </w:tc>
      </w:tr>
      <w:tr w:rsidR="004D2155" w:rsidRPr="00723680" w14:paraId="6381EAB5" w14:textId="77777777" w:rsidTr="0067717E">
        <w:tc>
          <w:tcPr>
            <w:tcW w:w="1985" w:type="dxa"/>
          </w:tcPr>
          <w:p w14:paraId="6283C9DC"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KM</w:t>
            </w:r>
          </w:p>
        </w:tc>
        <w:tc>
          <w:tcPr>
            <w:tcW w:w="7843" w:type="dxa"/>
          </w:tcPr>
          <w:p w14:paraId="74E3D57C" w14:textId="5132FA73"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Kultūras ministrija</w:t>
            </w:r>
          </w:p>
        </w:tc>
      </w:tr>
      <w:tr w:rsidR="004D2155" w:rsidRPr="00723680" w14:paraId="39373584" w14:textId="77777777" w:rsidTr="0067717E">
        <w:tc>
          <w:tcPr>
            <w:tcW w:w="1985" w:type="dxa"/>
          </w:tcPr>
          <w:p w14:paraId="0A161AEB"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Komiteja</w:t>
            </w:r>
          </w:p>
        </w:tc>
        <w:tc>
          <w:tcPr>
            <w:tcW w:w="7843" w:type="dxa"/>
          </w:tcPr>
          <w:p w14:paraId="0D1351D6" w14:textId="5C16E4A9"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Dzimumu līdztiesības komiteja</w:t>
            </w:r>
          </w:p>
        </w:tc>
      </w:tr>
      <w:tr w:rsidR="004D2155" w:rsidRPr="00723680" w14:paraId="28C2BF9E" w14:textId="77777777" w:rsidTr="0067717E">
        <w:tc>
          <w:tcPr>
            <w:tcW w:w="1985" w:type="dxa"/>
          </w:tcPr>
          <w:p w14:paraId="160CDA54" w14:textId="2C569FA6" w:rsidR="004D2155" w:rsidRPr="00723680" w:rsidRDefault="00885BCF" w:rsidP="004251AE">
            <w:pPr>
              <w:widowControl w:val="0"/>
              <w:spacing w:after="60" w:line="240" w:lineRule="atLeast"/>
              <w:jc w:val="right"/>
              <w:rPr>
                <w:rFonts w:ascii="Times New Roman" w:hAnsi="Times New Roman" w:cs="Times New Roman"/>
              </w:rPr>
            </w:pPr>
            <w:r>
              <w:rPr>
                <w:rFonts w:ascii="Times New Roman" w:hAnsi="Times New Roman" w:cs="Times New Roman"/>
              </w:rPr>
              <w:t>LABS</w:t>
            </w:r>
          </w:p>
        </w:tc>
        <w:tc>
          <w:tcPr>
            <w:tcW w:w="7843" w:type="dxa"/>
          </w:tcPr>
          <w:p w14:paraId="06208609" w14:textId="70BA4F44"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biedrība “Latvijas Brīvo arodbiedrību savienība”</w:t>
            </w:r>
          </w:p>
        </w:tc>
      </w:tr>
      <w:tr w:rsidR="004D2155" w:rsidRPr="00723680" w14:paraId="79AD7682" w14:textId="77777777" w:rsidTr="0067717E">
        <w:tc>
          <w:tcPr>
            <w:tcW w:w="1985" w:type="dxa"/>
          </w:tcPr>
          <w:p w14:paraId="523DDAA7"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LDDK</w:t>
            </w:r>
          </w:p>
        </w:tc>
        <w:tc>
          <w:tcPr>
            <w:tcW w:w="7843" w:type="dxa"/>
          </w:tcPr>
          <w:p w14:paraId="29FA12BC" w14:textId="64062520"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biedrība “Latvijas Darba devēju konfederācija”</w:t>
            </w:r>
          </w:p>
        </w:tc>
      </w:tr>
      <w:tr w:rsidR="004D2155" w:rsidRPr="00723680" w14:paraId="1C608DE0" w14:textId="77777777" w:rsidTr="0067717E">
        <w:tc>
          <w:tcPr>
            <w:tcW w:w="1985" w:type="dxa"/>
          </w:tcPr>
          <w:p w14:paraId="32DFF3BB"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LM</w:t>
            </w:r>
          </w:p>
        </w:tc>
        <w:tc>
          <w:tcPr>
            <w:tcW w:w="7843" w:type="dxa"/>
          </w:tcPr>
          <w:p w14:paraId="549612EA" w14:textId="4148A450"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Labklājības ministrija</w:t>
            </w:r>
          </w:p>
        </w:tc>
      </w:tr>
      <w:tr w:rsidR="004D2155" w:rsidRPr="00723680" w14:paraId="05FE7508" w14:textId="77777777" w:rsidTr="0067717E">
        <w:tc>
          <w:tcPr>
            <w:tcW w:w="1985" w:type="dxa"/>
          </w:tcPr>
          <w:p w14:paraId="1F90001B"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MK</w:t>
            </w:r>
          </w:p>
        </w:tc>
        <w:tc>
          <w:tcPr>
            <w:tcW w:w="7843" w:type="dxa"/>
          </w:tcPr>
          <w:p w14:paraId="7260C8A6" w14:textId="48DC5567"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Ministru kabinets</w:t>
            </w:r>
          </w:p>
        </w:tc>
      </w:tr>
      <w:tr w:rsidR="004D2155" w:rsidRPr="00723680" w14:paraId="7EB66B4F" w14:textId="77777777" w:rsidTr="0067717E">
        <w:tc>
          <w:tcPr>
            <w:tcW w:w="1985" w:type="dxa"/>
          </w:tcPr>
          <w:p w14:paraId="0DDC569A"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NAP</w:t>
            </w:r>
          </w:p>
        </w:tc>
        <w:tc>
          <w:tcPr>
            <w:tcW w:w="7843" w:type="dxa"/>
          </w:tcPr>
          <w:p w14:paraId="58F3093E" w14:textId="1DEC7AAE"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Nacionālais attīstības plāns</w:t>
            </w:r>
          </w:p>
        </w:tc>
      </w:tr>
      <w:tr w:rsidR="008762F6" w:rsidRPr="00723680" w14:paraId="4C042D03" w14:textId="77777777" w:rsidTr="004D2155">
        <w:tc>
          <w:tcPr>
            <w:tcW w:w="1985" w:type="dxa"/>
          </w:tcPr>
          <w:p w14:paraId="3CDB8F3E" w14:textId="0E051D65" w:rsidR="008762F6" w:rsidRPr="00723680" w:rsidRDefault="008762F6" w:rsidP="004251AE">
            <w:pPr>
              <w:widowControl w:val="0"/>
              <w:spacing w:after="60" w:line="240" w:lineRule="atLeast"/>
              <w:jc w:val="right"/>
              <w:rPr>
                <w:rFonts w:ascii="Times New Roman" w:hAnsi="Times New Roman" w:cs="Times New Roman"/>
              </w:rPr>
            </w:pPr>
            <w:r>
              <w:rPr>
                <w:rFonts w:ascii="Times New Roman" w:hAnsi="Times New Roman" w:cs="Times New Roman"/>
              </w:rPr>
              <w:t>NVA</w:t>
            </w:r>
          </w:p>
        </w:tc>
        <w:tc>
          <w:tcPr>
            <w:tcW w:w="7843" w:type="dxa"/>
          </w:tcPr>
          <w:p w14:paraId="4E130DC5" w14:textId="3394A701" w:rsidR="008762F6" w:rsidRPr="00A25874" w:rsidRDefault="008762F6" w:rsidP="00885BCF">
            <w:pPr>
              <w:pStyle w:val="ListParagraph"/>
              <w:widowControl w:val="0"/>
              <w:numPr>
                <w:ilvl w:val="0"/>
                <w:numId w:val="7"/>
              </w:numPr>
              <w:spacing w:after="60" w:line="240" w:lineRule="atLeast"/>
              <w:jc w:val="both"/>
              <w:rPr>
                <w:rFonts w:ascii="Times New Roman" w:hAnsi="Times New Roman" w:cs="Times New Roman"/>
              </w:rPr>
            </w:pPr>
            <w:r>
              <w:rPr>
                <w:rFonts w:ascii="Times New Roman" w:hAnsi="Times New Roman" w:cs="Times New Roman"/>
              </w:rPr>
              <w:t>Nodarbinātības valsts aģentūra</w:t>
            </w:r>
          </w:p>
        </w:tc>
      </w:tr>
      <w:tr w:rsidR="004D2155" w:rsidRPr="00723680" w14:paraId="1AAB6659" w14:textId="77777777" w:rsidTr="0067717E">
        <w:tc>
          <w:tcPr>
            <w:tcW w:w="1985" w:type="dxa"/>
          </w:tcPr>
          <w:p w14:paraId="361A9E38"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NVO</w:t>
            </w:r>
          </w:p>
        </w:tc>
        <w:tc>
          <w:tcPr>
            <w:tcW w:w="7843" w:type="dxa"/>
          </w:tcPr>
          <w:p w14:paraId="363497AC" w14:textId="0CAD2D42"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nevalstiskās organizācijas</w:t>
            </w:r>
          </w:p>
        </w:tc>
      </w:tr>
      <w:tr w:rsidR="004D2155" w:rsidRPr="00723680" w14:paraId="590EAAC3" w14:textId="77777777" w:rsidTr="0067717E">
        <w:tc>
          <w:tcPr>
            <w:tcW w:w="1985" w:type="dxa"/>
          </w:tcPr>
          <w:p w14:paraId="3B037F52"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SIF</w:t>
            </w:r>
          </w:p>
        </w:tc>
        <w:tc>
          <w:tcPr>
            <w:tcW w:w="7843" w:type="dxa"/>
          </w:tcPr>
          <w:p w14:paraId="1038407D" w14:textId="6DE8B24A"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Sabiedrības integrācijas fonds</w:t>
            </w:r>
          </w:p>
        </w:tc>
      </w:tr>
      <w:tr w:rsidR="00A06B5F" w:rsidRPr="00723680" w14:paraId="710E4E02" w14:textId="77777777" w:rsidTr="004D2155">
        <w:tc>
          <w:tcPr>
            <w:tcW w:w="1985" w:type="dxa"/>
          </w:tcPr>
          <w:p w14:paraId="45D7BA4D" w14:textId="6EA85DA2" w:rsidR="00A06B5F" w:rsidRPr="00723680" w:rsidRDefault="00A06B5F" w:rsidP="004251AE">
            <w:pPr>
              <w:widowControl w:val="0"/>
              <w:spacing w:after="60" w:line="240" w:lineRule="atLeast"/>
              <w:jc w:val="right"/>
              <w:rPr>
                <w:rFonts w:ascii="Times New Roman" w:hAnsi="Times New Roman" w:cs="Times New Roman"/>
              </w:rPr>
            </w:pPr>
            <w:r>
              <w:rPr>
                <w:rFonts w:ascii="Times New Roman" w:hAnsi="Times New Roman" w:cs="Times New Roman"/>
              </w:rPr>
              <w:t>SM</w:t>
            </w:r>
          </w:p>
        </w:tc>
        <w:tc>
          <w:tcPr>
            <w:tcW w:w="7843" w:type="dxa"/>
          </w:tcPr>
          <w:p w14:paraId="0012ECAD" w14:textId="22F18617" w:rsidR="00A06B5F" w:rsidRPr="00A25874" w:rsidRDefault="00A06B5F" w:rsidP="00885BCF">
            <w:pPr>
              <w:pStyle w:val="ListParagraph"/>
              <w:widowControl w:val="0"/>
              <w:numPr>
                <w:ilvl w:val="0"/>
                <w:numId w:val="7"/>
              </w:numPr>
              <w:spacing w:after="60" w:line="240" w:lineRule="atLeast"/>
              <w:jc w:val="both"/>
              <w:rPr>
                <w:rFonts w:ascii="Times New Roman" w:hAnsi="Times New Roman" w:cs="Times New Roman"/>
              </w:rPr>
            </w:pPr>
            <w:r>
              <w:rPr>
                <w:rFonts w:ascii="Times New Roman" w:hAnsi="Times New Roman" w:cs="Times New Roman"/>
              </w:rPr>
              <w:t>Satiksmes ministrija</w:t>
            </w:r>
          </w:p>
        </w:tc>
      </w:tr>
      <w:tr w:rsidR="004D2155" w:rsidRPr="00723680" w14:paraId="1FCBC2E2" w14:textId="77777777" w:rsidTr="0067717E">
        <w:tc>
          <w:tcPr>
            <w:tcW w:w="1985" w:type="dxa"/>
          </w:tcPr>
          <w:p w14:paraId="22B9F340"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SPKC</w:t>
            </w:r>
          </w:p>
        </w:tc>
        <w:tc>
          <w:tcPr>
            <w:tcW w:w="7843" w:type="dxa"/>
          </w:tcPr>
          <w:p w14:paraId="52B5B41E" w14:textId="681BCF99"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Slimību profilakses un kontroles centrs</w:t>
            </w:r>
          </w:p>
        </w:tc>
      </w:tr>
      <w:tr w:rsidR="004D2155" w:rsidRPr="00723680" w14:paraId="22E28AB6" w14:textId="77777777" w:rsidTr="0067717E">
        <w:tc>
          <w:tcPr>
            <w:tcW w:w="1985" w:type="dxa"/>
          </w:tcPr>
          <w:p w14:paraId="66E8935E"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TM</w:t>
            </w:r>
          </w:p>
        </w:tc>
        <w:tc>
          <w:tcPr>
            <w:tcW w:w="7843" w:type="dxa"/>
          </w:tcPr>
          <w:p w14:paraId="036A5F9C" w14:textId="069DF90F"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Tieslietu ministrija</w:t>
            </w:r>
          </w:p>
        </w:tc>
      </w:tr>
      <w:tr w:rsidR="004D2155" w:rsidRPr="00723680" w14:paraId="15BE385E" w14:textId="77777777" w:rsidTr="0067717E">
        <w:tc>
          <w:tcPr>
            <w:tcW w:w="1985" w:type="dxa"/>
          </w:tcPr>
          <w:p w14:paraId="200137E7"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VARAM</w:t>
            </w:r>
          </w:p>
        </w:tc>
        <w:tc>
          <w:tcPr>
            <w:tcW w:w="7843" w:type="dxa"/>
          </w:tcPr>
          <w:p w14:paraId="69CA6CD6" w14:textId="436F0F90"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Vides aizsardzības un reģionālās attīstības ministrija</w:t>
            </w:r>
          </w:p>
        </w:tc>
      </w:tr>
      <w:tr w:rsidR="004D2155" w:rsidRPr="00723680" w14:paraId="506596EE" w14:textId="77777777" w:rsidTr="0067717E">
        <w:tc>
          <w:tcPr>
            <w:tcW w:w="1985" w:type="dxa"/>
          </w:tcPr>
          <w:p w14:paraId="3D8533D5"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VAS</w:t>
            </w:r>
          </w:p>
        </w:tc>
        <w:tc>
          <w:tcPr>
            <w:tcW w:w="7843" w:type="dxa"/>
          </w:tcPr>
          <w:p w14:paraId="3A22495F" w14:textId="6E2B7DFC"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Valsts administrācijas skola</w:t>
            </w:r>
          </w:p>
        </w:tc>
      </w:tr>
      <w:tr w:rsidR="004D2155" w:rsidRPr="00723680" w14:paraId="3AAE7F93" w14:textId="77777777" w:rsidTr="0067717E">
        <w:tc>
          <w:tcPr>
            <w:tcW w:w="1985" w:type="dxa"/>
          </w:tcPr>
          <w:p w14:paraId="1799D754"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VIAA</w:t>
            </w:r>
          </w:p>
        </w:tc>
        <w:tc>
          <w:tcPr>
            <w:tcW w:w="7843" w:type="dxa"/>
          </w:tcPr>
          <w:p w14:paraId="03E671F5" w14:textId="46219EC8"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Valsts izglītības attīstības aģentūra</w:t>
            </w:r>
          </w:p>
        </w:tc>
      </w:tr>
      <w:tr w:rsidR="004D2155" w:rsidRPr="00723680" w14:paraId="6B807EE6" w14:textId="77777777" w:rsidTr="0067717E">
        <w:tc>
          <w:tcPr>
            <w:tcW w:w="1985" w:type="dxa"/>
          </w:tcPr>
          <w:p w14:paraId="5360ED63"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VISC</w:t>
            </w:r>
          </w:p>
        </w:tc>
        <w:tc>
          <w:tcPr>
            <w:tcW w:w="7843" w:type="dxa"/>
          </w:tcPr>
          <w:p w14:paraId="487FD7A4" w14:textId="66D5B6E7"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Valsts izglītības satura centrs</w:t>
            </w:r>
          </w:p>
        </w:tc>
      </w:tr>
      <w:tr w:rsidR="004D2155" w:rsidRPr="00723680" w14:paraId="2B9B93D0" w14:textId="77777777" w:rsidTr="0067717E">
        <w:tc>
          <w:tcPr>
            <w:tcW w:w="1985" w:type="dxa"/>
          </w:tcPr>
          <w:p w14:paraId="3B9132F8"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VK</w:t>
            </w:r>
          </w:p>
        </w:tc>
        <w:tc>
          <w:tcPr>
            <w:tcW w:w="7843" w:type="dxa"/>
          </w:tcPr>
          <w:p w14:paraId="4C5D1FD9" w14:textId="448D1392"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Valsts kanceleja</w:t>
            </w:r>
          </w:p>
        </w:tc>
      </w:tr>
      <w:tr w:rsidR="004D2155" w:rsidRPr="00723680" w14:paraId="3523CE73" w14:textId="77777777" w:rsidTr="0067717E">
        <w:tc>
          <w:tcPr>
            <w:tcW w:w="1985" w:type="dxa"/>
          </w:tcPr>
          <w:p w14:paraId="0A824D16" w14:textId="77777777" w:rsidR="004D2155" w:rsidRPr="00723680" w:rsidRDefault="004D2155" w:rsidP="004251AE">
            <w:pPr>
              <w:widowControl w:val="0"/>
              <w:spacing w:after="60" w:line="240" w:lineRule="atLeast"/>
              <w:jc w:val="right"/>
              <w:rPr>
                <w:rFonts w:ascii="Times New Roman" w:hAnsi="Times New Roman" w:cs="Times New Roman"/>
              </w:rPr>
            </w:pPr>
            <w:r w:rsidRPr="00723680">
              <w:rPr>
                <w:rFonts w:ascii="Times New Roman" w:hAnsi="Times New Roman" w:cs="Times New Roman"/>
              </w:rPr>
              <w:t>VM</w:t>
            </w:r>
          </w:p>
        </w:tc>
        <w:tc>
          <w:tcPr>
            <w:tcW w:w="7843" w:type="dxa"/>
          </w:tcPr>
          <w:p w14:paraId="43D3F326" w14:textId="0692E084" w:rsidR="004D2155" w:rsidRPr="0067717E" w:rsidRDefault="004D2155" w:rsidP="0067717E">
            <w:pPr>
              <w:pStyle w:val="ListParagraph"/>
              <w:widowControl w:val="0"/>
              <w:numPr>
                <w:ilvl w:val="0"/>
                <w:numId w:val="7"/>
              </w:numPr>
              <w:spacing w:after="60" w:line="240" w:lineRule="atLeast"/>
              <w:jc w:val="both"/>
              <w:rPr>
                <w:rFonts w:ascii="Times New Roman" w:hAnsi="Times New Roman" w:cs="Times New Roman"/>
              </w:rPr>
            </w:pPr>
            <w:r w:rsidRPr="0067717E">
              <w:rPr>
                <w:rFonts w:ascii="Times New Roman" w:hAnsi="Times New Roman" w:cs="Times New Roman"/>
              </w:rPr>
              <w:t>Veselības ministrija</w:t>
            </w:r>
          </w:p>
        </w:tc>
      </w:tr>
    </w:tbl>
    <w:p w14:paraId="5B0DBE2E" w14:textId="30101F58" w:rsidR="00863B94" w:rsidRDefault="00C54864" w:rsidP="00C54864">
      <w:pPr>
        <w:jc w:val="center"/>
        <w:rPr>
          <w:rFonts w:ascii="Times New Roman" w:hAnsi="Times New Roman" w:cs="Times New Roman"/>
          <w:sz w:val="48"/>
          <w:szCs w:val="32"/>
        </w:rPr>
      </w:pPr>
      <w:r>
        <w:rPr>
          <w:rFonts w:ascii="Times New Roman" w:hAnsi="Times New Roman" w:cs="Times New Roman"/>
          <w:sz w:val="48"/>
          <w:szCs w:val="32"/>
        </w:rPr>
        <w:br w:type="page"/>
      </w:r>
    </w:p>
    <w:p w14:paraId="3946F11F" w14:textId="77777777" w:rsidR="002703DD" w:rsidRPr="00723680" w:rsidRDefault="002703DD" w:rsidP="002703DD">
      <w:pPr>
        <w:pStyle w:val="Heading1"/>
        <w:keepNext w:val="0"/>
        <w:keepLines w:val="0"/>
        <w:widowControl w:val="0"/>
        <w:numPr>
          <w:ilvl w:val="0"/>
          <w:numId w:val="1"/>
        </w:numPr>
        <w:tabs>
          <w:tab w:val="num" w:pos="360"/>
        </w:tabs>
        <w:spacing w:after="60" w:line="240" w:lineRule="atLeast"/>
        <w:ind w:left="0" w:firstLine="0"/>
        <w:jc w:val="center"/>
        <w:rPr>
          <w:rFonts w:ascii="Times New Roman" w:hAnsi="Times New Roman" w:cs="Times New Roman"/>
          <w:b/>
          <w:color w:val="auto"/>
          <w:sz w:val="28"/>
          <w:szCs w:val="28"/>
        </w:rPr>
      </w:pPr>
      <w:bookmarkStart w:id="2" w:name="_Toc71256746"/>
      <w:r w:rsidRPr="00723680">
        <w:rPr>
          <w:rFonts w:ascii="Times New Roman" w:hAnsi="Times New Roman" w:cs="Times New Roman"/>
          <w:b/>
          <w:color w:val="auto"/>
          <w:sz w:val="28"/>
          <w:szCs w:val="28"/>
        </w:rPr>
        <w:lastRenderedPageBreak/>
        <w:t>Plāna kopsavilkums</w:t>
      </w:r>
      <w:bookmarkEnd w:id="2"/>
    </w:p>
    <w:p w14:paraId="719D05A7" w14:textId="77777777" w:rsidR="002703DD" w:rsidRPr="00723680" w:rsidRDefault="002703DD" w:rsidP="002703DD">
      <w:pPr>
        <w:widowControl w:val="0"/>
        <w:spacing w:before="60" w:after="60" w:line="240" w:lineRule="atLeast"/>
        <w:rPr>
          <w:rFonts w:ascii="Times New Roman" w:hAnsi="Times New Roman" w:cs="Times New Roman"/>
        </w:rPr>
      </w:pPr>
    </w:p>
    <w:p w14:paraId="19A9982B" w14:textId="0493586F" w:rsidR="00C97390" w:rsidRPr="00D647ED" w:rsidRDefault="002703DD" w:rsidP="00DC72BB">
      <w:pPr>
        <w:widowControl w:val="0"/>
        <w:spacing w:before="120" w:after="120" w:line="264" w:lineRule="auto"/>
        <w:ind w:firstLine="567"/>
        <w:jc w:val="both"/>
        <w:rPr>
          <w:rFonts w:cstheme="minorHAnsi"/>
        </w:rPr>
      </w:pPr>
      <w:bookmarkStart w:id="3" w:name="_Hlk75791889"/>
      <w:r w:rsidRPr="00D647ED">
        <w:rPr>
          <w:rFonts w:cstheme="minorHAnsi"/>
        </w:rPr>
        <w:t>Plāna sieviešu un vīriešu vienlīdzīgu tiesību un iespēju veicināšanai 2024.-2027.</w:t>
      </w:r>
      <w:r w:rsidR="00663533">
        <w:rPr>
          <w:rFonts w:cstheme="minorHAnsi"/>
        </w:rPr>
        <w:t xml:space="preserve"> </w:t>
      </w:r>
      <w:r w:rsidRPr="00D647ED">
        <w:rPr>
          <w:rFonts w:cstheme="minorHAnsi"/>
        </w:rPr>
        <w:t xml:space="preserve">gadam (turpmāk – Plāns) </w:t>
      </w:r>
      <w:r w:rsidRPr="00D647ED">
        <w:rPr>
          <w:rFonts w:cstheme="minorHAnsi"/>
          <w:b/>
        </w:rPr>
        <w:t>mērķis ir nodrošināt integrētu, mērķtiecīgu un efektīvu politiku, kas sekmē sieviešu un vīriešu vienlīdzīgu tiesību un iespēju īstenošanu</w:t>
      </w:r>
      <w:r w:rsidRPr="00D647ED">
        <w:rPr>
          <w:rFonts w:cstheme="minorHAnsi"/>
        </w:rPr>
        <w:t xml:space="preserve">. Mērķa sasniegšanai </w:t>
      </w:r>
      <w:r w:rsidR="00C97390" w:rsidRPr="00D647ED">
        <w:rPr>
          <w:rFonts w:cstheme="minorHAnsi"/>
        </w:rPr>
        <w:t xml:space="preserve">Plānā </w:t>
      </w:r>
      <w:r w:rsidRPr="00D647ED">
        <w:rPr>
          <w:rFonts w:cstheme="minorHAnsi"/>
        </w:rPr>
        <w:t>tiek izvirzīti trīs rīcības virzieni:</w:t>
      </w:r>
    </w:p>
    <w:p w14:paraId="5F1DA428" w14:textId="18469B09" w:rsidR="00C97390" w:rsidRPr="00D647ED" w:rsidRDefault="002703DD" w:rsidP="00DC72BB">
      <w:pPr>
        <w:widowControl w:val="0"/>
        <w:spacing w:before="120" w:after="120" w:line="264" w:lineRule="auto"/>
        <w:ind w:firstLine="567"/>
        <w:jc w:val="both"/>
        <w:rPr>
          <w:rFonts w:cstheme="minorHAnsi"/>
        </w:rPr>
      </w:pPr>
      <w:r w:rsidRPr="00D647ED">
        <w:rPr>
          <w:rFonts w:cstheme="minorHAnsi"/>
        </w:rPr>
        <w:t>(1) sieviešu un vīriešu vienlīdzīgas tiesības un iespējas darba tirgū un izglītībā;</w:t>
      </w:r>
    </w:p>
    <w:p w14:paraId="43E02012" w14:textId="67B6573F" w:rsidR="00C97390" w:rsidRPr="00D647ED" w:rsidRDefault="002703DD" w:rsidP="00DC72BB">
      <w:pPr>
        <w:widowControl w:val="0"/>
        <w:spacing w:before="120" w:after="120" w:line="264" w:lineRule="auto"/>
        <w:ind w:firstLine="567"/>
        <w:jc w:val="both"/>
        <w:rPr>
          <w:rFonts w:cstheme="minorHAnsi"/>
        </w:rPr>
      </w:pPr>
      <w:r w:rsidRPr="00D647ED">
        <w:rPr>
          <w:rFonts w:cstheme="minorHAnsi"/>
        </w:rPr>
        <w:t>(2) ar dzimumu saistītu negatīvu stereotipu mazināšana</w:t>
      </w:r>
      <w:r w:rsidR="00C97390" w:rsidRPr="00D647ED">
        <w:rPr>
          <w:rFonts w:cstheme="minorHAnsi"/>
        </w:rPr>
        <w:t>;</w:t>
      </w:r>
    </w:p>
    <w:p w14:paraId="2FEEDE3E" w14:textId="593E07D1" w:rsidR="002703DD" w:rsidRPr="00D647ED" w:rsidRDefault="002703DD" w:rsidP="00DC72BB">
      <w:pPr>
        <w:widowControl w:val="0"/>
        <w:spacing w:before="120" w:after="120" w:line="264" w:lineRule="auto"/>
        <w:ind w:firstLine="567"/>
        <w:jc w:val="both"/>
        <w:rPr>
          <w:rFonts w:cstheme="minorHAnsi"/>
        </w:rPr>
      </w:pPr>
      <w:r w:rsidRPr="00D647ED">
        <w:rPr>
          <w:rFonts w:cstheme="minorHAnsi"/>
        </w:rPr>
        <w:t xml:space="preserve">(3) dzimumu līdztiesības principa integrēšana politikas plānošanas procesos. </w:t>
      </w:r>
    </w:p>
    <w:p w14:paraId="79D0ACB0" w14:textId="7EAE4CA7" w:rsidR="002703DD" w:rsidRPr="00D647ED" w:rsidRDefault="00CF2816" w:rsidP="00DC72BB">
      <w:pPr>
        <w:spacing w:before="120" w:after="120" w:line="264" w:lineRule="auto"/>
        <w:ind w:firstLine="567"/>
        <w:jc w:val="both"/>
        <w:rPr>
          <w:rFonts w:eastAsia="Calibri" w:cstheme="minorHAnsi"/>
        </w:rPr>
      </w:pPr>
      <w:r w:rsidRPr="00D647ED">
        <w:rPr>
          <w:rFonts w:cstheme="minorHAnsi"/>
        </w:rPr>
        <w:t>Saskaņā ar Sociālās aizsardzības un darba tirgus politikas pamatnostādņu 2021.-2027.gadam</w:t>
      </w:r>
      <w:r w:rsidRPr="00D647ED">
        <w:rPr>
          <w:rStyle w:val="FootnoteReference"/>
          <w:rFonts w:cstheme="minorHAnsi"/>
        </w:rPr>
        <w:footnoteReference w:id="1"/>
      </w:r>
      <w:r w:rsidRPr="00D647ED">
        <w:rPr>
          <w:rFonts w:cstheme="minorHAnsi"/>
        </w:rPr>
        <w:t xml:space="preserve"> (turpmāk – Pamatnostādnes) 5.rīcības virzienā “Sociālās aizsardzības un darba tirgus politikas pārvaldības stiprināšana” </w:t>
      </w:r>
      <w:r w:rsidR="00DB116A" w:rsidRPr="00D647ED">
        <w:rPr>
          <w:rFonts w:cstheme="minorHAnsi"/>
        </w:rPr>
        <w:t xml:space="preserve">noteiktajiem </w:t>
      </w:r>
      <w:r w:rsidRPr="00D647ED">
        <w:rPr>
          <w:rFonts w:cstheme="minorHAnsi"/>
        </w:rPr>
        <w:t xml:space="preserve">vidustermiņa mērķiem ir </w:t>
      </w:r>
      <w:r w:rsidR="00DB116A" w:rsidRPr="00D647ED">
        <w:rPr>
          <w:rFonts w:cstheme="minorHAnsi"/>
        </w:rPr>
        <w:t xml:space="preserve">paredzēta </w:t>
      </w:r>
      <w:r w:rsidRPr="00D647ED">
        <w:rPr>
          <w:rFonts w:eastAsia="Calibri" w:cstheme="minorHAnsi"/>
        </w:rPr>
        <w:t>mērķtiecīgu pasākumu īstenošana vīriešu un sieviešu vienlīdzīgu iespēju un tiesību sekmēšanai dažādās jomās. Tāpat dzimumu līdztiesības integrētā pieeja ir definēta kā viens no pamatprincipiem</w:t>
      </w:r>
      <w:r w:rsidR="00046FCD">
        <w:rPr>
          <w:rFonts w:eastAsia="Calibri" w:cstheme="minorHAnsi"/>
        </w:rPr>
        <w:t xml:space="preserve"> </w:t>
      </w:r>
      <w:r w:rsidRPr="00D647ED">
        <w:rPr>
          <w:rFonts w:eastAsia="Calibri" w:cstheme="minorHAnsi"/>
        </w:rPr>
        <w:t xml:space="preserve">Pamatnostādnēs noteikto mērķu, rīcības virzienu un uzdevumu īstenošanā. Vienlaikus </w:t>
      </w:r>
      <w:r w:rsidR="00EA201C" w:rsidRPr="00D647ED">
        <w:rPr>
          <w:rFonts w:eastAsia="Calibri" w:cstheme="minorHAnsi"/>
        </w:rPr>
        <w:t xml:space="preserve">pie </w:t>
      </w:r>
      <w:r w:rsidRPr="00D647ED">
        <w:rPr>
          <w:rFonts w:eastAsia="Calibri" w:cstheme="minorHAnsi"/>
        </w:rPr>
        <w:t>Plān</w:t>
      </w:r>
      <w:r w:rsidR="00EA201C" w:rsidRPr="00D647ED">
        <w:rPr>
          <w:rFonts w:eastAsia="Calibri" w:cstheme="minorHAnsi"/>
        </w:rPr>
        <w:t xml:space="preserve">ā noteiktajiem rīcības virzieniem </w:t>
      </w:r>
      <w:r w:rsidRPr="00D647ED">
        <w:rPr>
          <w:rFonts w:eastAsia="Calibri" w:cstheme="minorHAnsi"/>
        </w:rPr>
        <w:t>ir iezīmēti aktuālie izaicinājum</w:t>
      </w:r>
      <w:r w:rsidR="00EA201C" w:rsidRPr="00D647ED">
        <w:rPr>
          <w:rFonts w:eastAsia="Calibri" w:cstheme="minorHAnsi"/>
        </w:rPr>
        <w:t xml:space="preserve">i </w:t>
      </w:r>
      <w:r w:rsidRPr="00D647ED">
        <w:rPr>
          <w:rFonts w:eastAsia="Calibri" w:cstheme="minorHAnsi"/>
        </w:rPr>
        <w:t>vīriešu un sieviešu vienlīdzīgu tiesību un iespēju jomā, kas nosaka nepieciešamos pasākumus šo problēmu risināšanai šī plāna perioda ietvaros.</w:t>
      </w:r>
      <w:r w:rsidR="002703DD" w:rsidRPr="00D647ED">
        <w:rPr>
          <w:rFonts w:cstheme="minorHAnsi"/>
        </w:rPr>
        <w:t xml:space="preserve"> </w:t>
      </w:r>
    </w:p>
    <w:p w14:paraId="557DD6AB" w14:textId="7FBF8F3C" w:rsidR="002703DD" w:rsidRPr="00D647ED" w:rsidRDefault="002703DD" w:rsidP="00DC72BB">
      <w:pPr>
        <w:spacing w:before="120" w:after="120" w:line="264" w:lineRule="auto"/>
        <w:ind w:firstLine="567"/>
        <w:jc w:val="both"/>
        <w:rPr>
          <w:rFonts w:eastAsia="Calibri" w:cstheme="minorHAnsi"/>
        </w:rPr>
      </w:pPr>
      <w:r w:rsidRPr="00D647ED">
        <w:rPr>
          <w:rFonts w:cstheme="minorHAnsi"/>
        </w:rPr>
        <w:t xml:space="preserve">Plāna rīcības virzienu izvēle lielā mērā </w:t>
      </w:r>
      <w:r w:rsidR="00066416" w:rsidRPr="00D647ED">
        <w:rPr>
          <w:rFonts w:cstheme="minorHAnsi"/>
        </w:rPr>
        <w:t xml:space="preserve">ir </w:t>
      </w:r>
      <w:r w:rsidRPr="00D647ED">
        <w:rPr>
          <w:rFonts w:cstheme="minorHAnsi"/>
        </w:rPr>
        <w:t>saistīta ar</w:t>
      </w:r>
      <w:r w:rsidR="00066416" w:rsidRPr="00D647ED">
        <w:rPr>
          <w:rFonts w:cstheme="minorHAnsi"/>
        </w:rPr>
        <w:t xml:space="preserve">ī ar </w:t>
      </w:r>
      <w:r w:rsidRPr="00D647ED">
        <w:rPr>
          <w:rFonts w:cstheme="minorHAnsi"/>
        </w:rPr>
        <w:t xml:space="preserve">dažādos starptautiskos dokumentos </w:t>
      </w:r>
      <w:r w:rsidR="00066416" w:rsidRPr="00D647ED">
        <w:rPr>
          <w:rFonts w:cstheme="minorHAnsi"/>
        </w:rPr>
        <w:t xml:space="preserve">uzsvērtajiem </w:t>
      </w:r>
      <w:r w:rsidRPr="00D647ED">
        <w:rPr>
          <w:rFonts w:cstheme="minorHAnsi"/>
        </w:rPr>
        <w:t>izaicinājumiem sieviešu un vīriešu vienlīdzīgu tiesību un iespēju veicināšanā, jo īpaši ANO Sieviešu diskriminācijas izskaušanas komitejas 2020.</w:t>
      </w:r>
      <w:r w:rsidR="0076582E" w:rsidRPr="00D647ED">
        <w:rPr>
          <w:rFonts w:cstheme="minorHAnsi"/>
        </w:rPr>
        <w:t xml:space="preserve"> </w:t>
      </w:r>
      <w:r w:rsidRPr="00D647ED">
        <w:rPr>
          <w:rFonts w:cstheme="minorHAnsi"/>
        </w:rPr>
        <w:t>gada 10.</w:t>
      </w:r>
      <w:r w:rsidR="0076582E" w:rsidRPr="00D647ED">
        <w:rPr>
          <w:rFonts w:cstheme="minorHAnsi"/>
        </w:rPr>
        <w:t xml:space="preserve"> </w:t>
      </w:r>
      <w:r w:rsidRPr="00D647ED">
        <w:rPr>
          <w:rFonts w:cstheme="minorHAnsi"/>
        </w:rPr>
        <w:t>marta rekomendācijā 1979.</w:t>
      </w:r>
      <w:r w:rsidR="0076582E" w:rsidRPr="00D647ED">
        <w:rPr>
          <w:rFonts w:cstheme="minorHAnsi"/>
        </w:rPr>
        <w:t xml:space="preserve"> </w:t>
      </w:r>
      <w:r w:rsidRPr="00D647ED">
        <w:rPr>
          <w:rFonts w:cstheme="minorHAnsi"/>
        </w:rPr>
        <w:t>gada Konvencijas par jebkuras sieviešu diskriminācijas izskaušanu veiksmīgākai ieviešanai Latvijā paustais. Plāna izstrādē  ņemti vērā arī NAP 2021.-2027.gadam, EK Dzimumu līdztiesības stratēģijā 2020.- 2025.</w:t>
      </w:r>
      <w:r w:rsidR="00046FCD">
        <w:rPr>
          <w:rFonts w:cstheme="minorHAnsi"/>
        </w:rPr>
        <w:t xml:space="preserve"> </w:t>
      </w:r>
      <w:r w:rsidRPr="00D647ED">
        <w:rPr>
          <w:rFonts w:cstheme="minorHAnsi"/>
        </w:rPr>
        <w:t>gadam,</w:t>
      </w:r>
      <w:r w:rsidR="002F00CD" w:rsidRPr="00D647ED">
        <w:rPr>
          <w:rFonts w:cstheme="minorHAnsi"/>
        </w:rPr>
        <w:t xml:space="preserve"> </w:t>
      </w:r>
      <w:r w:rsidR="00BA40CF" w:rsidRPr="00D647ED">
        <w:rPr>
          <w:rFonts w:cstheme="minorHAnsi"/>
        </w:rPr>
        <w:t>ES aprūpes stratēģijas,</w:t>
      </w:r>
      <w:r w:rsidRPr="00D647ED">
        <w:rPr>
          <w:rFonts w:cstheme="minorHAnsi"/>
        </w:rPr>
        <w:t xml:space="preserve"> ES jaunatnes stratēģijas 2019. – 2027.gadam un Eiropas Sociālo tiesību pīlāra Rīcības plānā 2030 noteiktās prioritātes, mērķi un rekomendācijas. Plāns sniedz būtisku ieguldījumu arī ANO Ilgtspējīgas attīstības piektā mērķa “Dzimumu līdztiesība” sasniegšanā.  </w:t>
      </w:r>
    </w:p>
    <w:p w14:paraId="57A14C57" w14:textId="7DFA915F" w:rsidR="002703DD" w:rsidRPr="00D647ED" w:rsidRDefault="002703DD" w:rsidP="00DC72BB">
      <w:pPr>
        <w:widowControl w:val="0"/>
        <w:spacing w:before="120" w:after="120" w:line="264" w:lineRule="auto"/>
        <w:ind w:firstLine="567"/>
        <w:jc w:val="both"/>
        <w:rPr>
          <w:rFonts w:cstheme="minorHAnsi"/>
        </w:rPr>
      </w:pPr>
      <w:r w:rsidRPr="00D647ED">
        <w:rPr>
          <w:rFonts w:cstheme="minorHAnsi"/>
        </w:rPr>
        <w:t>Plānā ietverti pasākumi, kurus ierobežot</w:t>
      </w:r>
      <w:r w:rsidR="001139D7" w:rsidRPr="00D647ED">
        <w:rPr>
          <w:rFonts w:cstheme="minorHAnsi"/>
        </w:rPr>
        <w:t>a</w:t>
      </w:r>
      <w:r w:rsidRPr="00D647ED">
        <w:rPr>
          <w:rFonts w:cstheme="minorHAnsi"/>
        </w:rPr>
        <w:t xml:space="preserve"> </w:t>
      </w:r>
      <w:r w:rsidR="001139D7" w:rsidRPr="00D647ED">
        <w:rPr>
          <w:rFonts w:cstheme="minorHAnsi"/>
        </w:rPr>
        <w:t xml:space="preserve">un vēl nepieejama </w:t>
      </w:r>
      <w:r w:rsidRPr="00D647ED">
        <w:rPr>
          <w:rFonts w:cstheme="minorHAnsi"/>
        </w:rPr>
        <w:t>finan</w:t>
      </w:r>
      <w:r w:rsidR="001139D7" w:rsidRPr="00D647ED">
        <w:rPr>
          <w:rFonts w:cstheme="minorHAnsi"/>
        </w:rPr>
        <w:t xml:space="preserve">sējuma </w:t>
      </w:r>
      <w:r w:rsidRPr="00D647ED">
        <w:rPr>
          <w:rFonts w:cstheme="minorHAnsi"/>
        </w:rPr>
        <w:t xml:space="preserve">vai cilvēkresursu dēļ nav izdevies īstenot Plāna sieviešu un vīriešu vienlīdzīgu tiesību un iespēju veicināšanai 2021.-2023.gadam ietvaros, bet kuri ir aktuāli arī 2024.-2027. gada periodā. Lai sekmētu izvirzīto problēmjautājumu atpazīstamību publiskajā telpā, atsevišķus Plāna pasākumus paredzēts sasaistīt ar </w:t>
      </w:r>
      <w:r w:rsidR="007726AD" w:rsidRPr="00D647ED">
        <w:rPr>
          <w:rFonts w:cstheme="minorHAnsi"/>
        </w:rPr>
        <w:t xml:space="preserve">gan </w:t>
      </w:r>
      <w:r w:rsidRPr="00D647ED">
        <w:rPr>
          <w:rFonts w:cstheme="minorHAnsi"/>
        </w:rPr>
        <w:t>starptautiski</w:t>
      </w:r>
      <w:r w:rsidR="007726AD" w:rsidRPr="00D647ED">
        <w:rPr>
          <w:rFonts w:cstheme="minorHAnsi"/>
        </w:rPr>
        <w:t>, gan nacionāli</w:t>
      </w:r>
      <w:r w:rsidR="00702CC7">
        <w:rPr>
          <w:rFonts w:cstheme="minorHAnsi"/>
        </w:rPr>
        <w:t xml:space="preserve"> </w:t>
      </w:r>
      <w:r w:rsidRPr="00D647ED">
        <w:rPr>
          <w:rFonts w:cstheme="minorHAnsi"/>
        </w:rPr>
        <w:t>atzīmējamām dienām</w:t>
      </w:r>
      <w:r w:rsidR="007726AD" w:rsidRPr="00D647ED">
        <w:rPr>
          <w:rFonts w:cstheme="minorHAnsi"/>
        </w:rPr>
        <w:t xml:space="preserve"> </w:t>
      </w:r>
      <w:r w:rsidRPr="00D647ED">
        <w:rPr>
          <w:rFonts w:cstheme="minorHAnsi"/>
        </w:rPr>
        <w:t xml:space="preserve">un to ietvaros īstenotiem publicitātes pasākumiem, piemēram, Starptautisko antidiskriminācijas dienu (1.februāris), Starptautisko sieviešu dienu (8.marts), Starptautisko jaunatnes dienu (12.augusts), </w:t>
      </w:r>
      <w:r w:rsidR="008D3448" w:rsidRPr="00D647ED">
        <w:rPr>
          <w:rFonts w:cstheme="minorHAnsi"/>
        </w:rPr>
        <w:t>Mātes dienu (</w:t>
      </w:r>
      <w:r w:rsidR="00752E2D" w:rsidRPr="00D647ED">
        <w:rPr>
          <w:rFonts w:cstheme="minorHAnsi"/>
        </w:rPr>
        <w:t xml:space="preserve">otrā </w:t>
      </w:r>
      <w:r w:rsidR="008D3448" w:rsidRPr="00D647ED">
        <w:rPr>
          <w:rFonts w:cstheme="minorHAnsi"/>
        </w:rPr>
        <w:t>maij</w:t>
      </w:r>
      <w:r w:rsidR="00752E2D" w:rsidRPr="00D647ED">
        <w:rPr>
          <w:rFonts w:cstheme="minorHAnsi"/>
        </w:rPr>
        <w:t>a svētdiena</w:t>
      </w:r>
      <w:r w:rsidR="008D3448" w:rsidRPr="00D647ED">
        <w:rPr>
          <w:rFonts w:cstheme="minorHAnsi"/>
        </w:rPr>
        <w:t xml:space="preserve">), </w:t>
      </w:r>
      <w:r w:rsidRPr="00D647ED">
        <w:rPr>
          <w:rFonts w:cstheme="minorHAnsi"/>
        </w:rPr>
        <w:t>Starptautisko vienlīdzīgas darba samaksas dienu (18.septembris),</w:t>
      </w:r>
      <w:r w:rsidR="008D3448" w:rsidRPr="00D647ED">
        <w:rPr>
          <w:rFonts w:cstheme="minorHAnsi"/>
        </w:rPr>
        <w:t xml:space="preserve"> Tēvu </w:t>
      </w:r>
      <w:r w:rsidR="008D3448" w:rsidRPr="00D647ED">
        <w:rPr>
          <w:rFonts w:cstheme="minorHAnsi"/>
        </w:rPr>
        <w:lastRenderedPageBreak/>
        <w:t xml:space="preserve">dienu (septembra </w:t>
      </w:r>
      <w:r w:rsidR="00752E2D" w:rsidRPr="00D647ED">
        <w:rPr>
          <w:rFonts w:cstheme="minorHAnsi"/>
        </w:rPr>
        <w:t>otrā svētdiena)</w:t>
      </w:r>
      <w:r w:rsidRPr="00D647ED">
        <w:rPr>
          <w:rFonts w:cstheme="minorHAnsi"/>
        </w:rPr>
        <w:t xml:space="preserve"> Starptautisko pretvardarbības dienu (2.oktobris) un Starptautisko vīriešu dienu (19.novembris).  </w:t>
      </w:r>
    </w:p>
    <w:p w14:paraId="61FA86DC" w14:textId="45A6FB7C" w:rsidR="002703DD" w:rsidRPr="00D647ED" w:rsidRDefault="002703DD" w:rsidP="00DC72BB">
      <w:pPr>
        <w:widowControl w:val="0"/>
        <w:spacing w:before="120" w:after="120" w:line="264" w:lineRule="auto"/>
        <w:ind w:firstLine="567"/>
        <w:jc w:val="both"/>
        <w:rPr>
          <w:rFonts w:cstheme="minorHAnsi"/>
        </w:rPr>
      </w:pPr>
      <w:r w:rsidRPr="00D647ED">
        <w:rPr>
          <w:rFonts w:cstheme="minorHAnsi"/>
        </w:rPr>
        <w:t xml:space="preserve">Ņemot vērā ierobežotos sieviešu un vīriešu vienlīdzīgu tiesību un iespēju veicināšanai pieejamos resursus, ar Plāna starpniecību tiek risināti tikai visaktuālākie izaicinājumi, kā pamatjomas izvēloties stereotipu un aizspriedumu mazināšanu </w:t>
      </w:r>
      <w:r w:rsidR="00287AEB" w:rsidRPr="00D647ED">
        <w:rPr>
          <w:rFonts w:cstheme="minorHAnsi"/>
        </w:rPr>
        <w:t xml:space="preserve">dažādās jomās, bet īpaši </w:t>
      </w:r>
      <w:r w:rsidRPr="00D647ED">
        <w:rPr>
          <w:rFonts w:cstheme="minorHAnsi"/>
        </w:rPr>
        <w:t>darba tirgū</w:t>
      </w:r>
      <w:r w:rsidR="00287AEB" w:rsidRPr="00D647ED">
        <w:rPr>
          <w:rFonts w:cstheme="minorHAnsi"/>
        </w:rPr>
        <w:t xml:space="preserve"> un </w:t>
      </w:r>
      <w:r w:rsidRPr="00D647ED">
        <w:rPr>
          <w:rFonts w:cstheme="minorHAnsi"/>
        </w:rPr>
        <w:t>izglītībā</w:t>
      </w:r>
      <w:r w:rsidR="00287AEB" w:rsidRPr="00D647ED">
        <w:rPr>
          <w:rFonts w:cstheme="minorHAnsi"/>
        </w:rPr>
        <w:t xml:space="preserve">. </w:t>
      </w:r>
      <w:r w:rsidRPr="00D647ED">
        <w:rPr>
          <w:rFonts w:cstheme="minorHAnsi"/>
        </w:rPr>
        <w:t xml:space="preserve">Vienlaikus </w:t>
      </w:r>
      <w:r w:rsidR="00287AEB" w:rsidRPr="00D647ED">
        <w:rPr>
          <w:rFonts w:cstheme="minorHAnsi"/>
        </w:rPr>
        <w:t xml:space="preserve">nozīmīga </w:t>
      </w:r>
      <w:r w:rsidRPr="00D647ED">
        <w:rPr>
          <w:rFonts w:cstheme="minorHAnsi"/>
        </w:rPr>
        <w:t>uzmanība tiek veltīta valsts pārvaldes kapacitātes stiprināšanai, starpinstitūciju sadarbības attīstīšanai un izpratnes par dzimumu līdztiesību un tās sasaisti ar nozaru politikām turpmākai pilnveidošanai. Plāna īstenošanas gaitā iecerēts būtiski stiprināt valsts pārvaldes sadarbību ar NVO un dažādu sabiedrības grupu pārstāvjiem, nodrošinot, ka sieviešu un vīriešu vienlīdzīgu tiesību un iespēju veicināšanas pasākumi ir atbilstoši to mērķauditorijām un faktiskajām sabiedrības vajadzībām.</w:t>
      </w:r>
      <w:r w:rsidRPr="00D647ED">
        <w:rPr>
          <w:rFonts w:eastAsiaTheme="minorEastAsia" w:cstheme="minorHAnsi"/>
          <w:lang w:eastAsia="lv-LV"/>
        </w:rPr>
        <w:t xml:space="preserve"> </w:t>
      </w:r>
      <w:r w:rsidRPr="00D647ED">
        <w:rPr>
          <w:rFonts w:cstheme="minorHAnsi"/>
        </w:rPr>
        <w:t xml:space="preserve">Būtiski atzīmēt, ka visā Plāna īstenošanas gaitā tiks pievērsta pastiprināta uzmanība tam, lai Plāna pasākumu ietvaros tapušie rezultāti būtu pieejami un ērti lietojami arī personām ar sensoriem traucējumiem, savukārt gadījumos, kad pasākuma īstenošana notiek klātienē, tiks nodrošināta vides pieejamība. </w:t>
      </w:r>
    </w:p>
    <w:p w14:paraId="63149D48" w14:textId="167C3B47" w:rsidR="002703DD" w:rsidRPr="00D647ED" w:rsidRDefault="002703DD" w:rsidP="00DC72BB">
      <w:pPr>
        <w:widowControl w:val="0"/>
        <w:spacing w:before="120" w:after="120" w:line="264" w:lineRule="auto"/>
        <w:ind w:firstLine="567"/>
        <w:jc w:val="both"/>
        <w:rPr>
          <w:rFonts w:cstheme="minorHAnsi"/>
          <w:shd w:val="clear" w:color="auto" w:fill="FFFFFF"/>
        </w:rPr>
      </w:pPr>
      <w:bookmarkStart w:id="4" w:name="_Hlk71362299"/>
      <w:r w:rsidRPr="00D647ED">
        <w:rPr>
          <w:rFonts w:cstheme="minorHAnsi"/>
        </w:rPr>
        <w:t>Lai sekmētu precīzāku nozarēs konstatēto izaicinājumu atspoguļojumu un nepieciešamo risinājumu identificēšanu, laikā no 2023.</w:t>
      </w:r>
      <w:r w:rsidR="002562A8">
        <w:rPr>
          <w:rFonts w:cstheme="minorHAnsi"/>
        </w:rPr>
        <w:t xml:space="preserve"> </w:t>
      </w:r>
      <w:r w:rsidRPr="00D647ED">
        <w:rPr>
          <w:rFonts w:cstheme="minorHAnsi"/>
        </w:rPr>
        <w:t xml:space="preserve">gada oktobrim līdz decembrim tika organizētas klātienes, attālinātas, elektroniskas un telefoniskas konsultācijas ar CSP, EM, FM, IeM, ĀM, IZM, SM, JSPA, KM, ZM, SIF, TM, </w:t>
      </w:r>
      <w:r w:rsidR="00E96D6D" w:rsidRPr="004A5902">
        <w:rPr>
          <w:rFonts w:cstheme="minorHAnsi"/>
        </w:rPr>
        <w:t>VK</w:t>
      </w:r>
      <w:r w:rsidR="00E96D6D">
        <w:rPr>
          <w:rFonts w:cstheme="minorHAnsi"/>
        </w:rPr>
        <w:t xml:space="preserve">, </w:t>
      </w:r>
      <w:r w:rsidRPr="00D647ED">
        <w:rPr>
          <w:rFonts w:cstheme="minorHAnsi"/>
        </w:rPr>
        <w:t>VARAM, KEM, NVA, VIAA, IKVD, VISC, un VM, kā arī</w:t>
      </w:r>
      <w:r w:rsidR="00BF271C" w:rsidRPr="00D647ED">
        <w:rPr>
          <w:rFonts w:cstheme="minorHAnsi"/>
        </w:rPr>
        <w:t xml:space="preserve"> Latvijas</w:t>
      </w:r>
      <w:r w:rsidRPr="00D647ED">
        <w:rPr>
          <w:rFonts w:cstheme="minorHAnsi"/>
        </w:rPr>
        <w:t xml:space="preserve"> sabiedrisko mediju ombudu, pārrunājot </w:t>
      </w:r>
      <w:r w:rsidR="00A94EA7" w:rsidRPr="00D647ED">
        <w:rPr>
          <w:rFonts w:cstheme="minorHAnsi"/>
        </w:rPr>
        <w:t xml:space="preserve">situāciju un izaicinājumus no dzimumu līdztiesības viedokļa dažādās jomās un jautājumos, </w:t>
      </w:r>
      <w:r w:rsidR="0062656E" w:rsidRPr="00D647ED">
        <w:rPr>
          <w:rFonts w:cstheme="minorHAnsi"/>
        </w:rPr>
        <w:t xml:space="preserve">diskutējot par iespējamajiem </w:t>
      </w:r>
      <w:r w:rsidRPr="00D647ED">
        <w:rPr>
          <w:rFonts w:cstheme="minorHAnsi"/>
        </w:rPr>
        <w:t>pasākum</w:t>
      </w:r>
      <w:r w:rsidR="0062656E" w:rsidRPr="00D647ED">
        <w:rPr>
          <w:rFonts w:cstheme="minorHAnsi"/>
        </w:rPr>
        <w:t xml:space="preserve">iem, ko būtu nepieciešams īstenot, kā arī </w:t>
      </w:r>
      <w:r w:rsidRPr="00D647ED">
        <w:rPr>
          <w:rFonts w:cstheme="minorHAnsi"/>
        </w:rPr>
        <w:t xml:space="preserve">sadarbību to īstenošanā. Tāpat Plāna izstrādē iesaistīta </w:t>
      </w:r>
      <w:r w:rsidR="0062656E" w:rsidRPr="00D647ED">
        <w:rPr>
          <w:rFonts w:cstheme="minorHAnsi"/>
        </w:rPr>
        <w:t xml:space="preserve">Dzimumu līdztiesības </w:t>
      </w:r>
      <w:r w:rsidR="002562A8">
        <w:rPr>
          <w:rFonts w:cstheme="minorHAnsi"/>
        </w:rPr>
        <w:t>k</w:t>
      </w:r>
      <w:r w:rsidRPr="00D647ED">
        <w:rPr>
          <w:rFonts w:cstheme="minorHAnsi"/>
        </w:rPr>
        <w:t>omiteja</w:t>
      </w:r>
      <w:r w:rsidRPr="00D647ED">
        <w:rPr>
          <w:rStyle w:val="FootnoteReference"/>
          <w:rFonts w:cstheme="minorHAnsi"/>
        </w:rPr>
        <w:footnoteReference w:id="2"/>
      </w:r>
      <w:r w:rsidR="00A273E8" w:rsidRPr="00D647ED">
        <w:rPr>
          <w:rFonts w:cstheme="minorHAnsi"/>
        </w:rPr>
        <w:t>. 2023.gada 11.</w:t>
      </w:r>
      <w:r w:rsidR="00B34467">
        <w:rPr>
          <w:rFonts w:cstheme="minorHAnsi"/>
        </w:rPr>
        <w:t xml:space="preserve"> </w:t>
      </w:r>
      <w:r w:rsidR="00A273E8" w:rsidRPr="00D647ED">
        <w:rPr>
          <w:rFonts w:cstheme="minorHAnsi"/>
        </w:rPr>
        <w:t xml:space="preserve">oktobra sēdē </w:t>
      </w:r>
      <w:r w:rsidR="002E4BBA" w:rsidRPr="00D647ED">
        <w:rPr>
          <w:rFonts w:cstheme="minorHAnsi"/>
        </w:rPr>
        <w:t>tika prezentēti galvenie izaicinājumi, kam topošajā Plānā īpaši tiks pievērsta uzmanība</w:t>
      </w:r>
      <w:r w:rsidR="00162CB2" w:rsidRPr="00D647ED">
        <w:rPr>
          <w:rFonts w:cstheme="minorHAnsi"/>
        </w:rPr>
        <w:t xml:space="preserve">, kā arī iezīmēti galvenie rīcības virzieni. Savukārt </w:t>
      </w:r>
      <w:r w:rsidR="00C0508F">
        <w:rPr>
          <w:rFonts w:cstheme="minorHAnsi"/>
        </w:rPr>
        <w:t xml:space="preserve">Komitejas </w:t>
      </w:r>
      <w:r w:rsidR="00162CB2" w:rsidRPr="00D647ED">
        <w:rPr>
          <w:rFonts w:cstheme="minorHAnsi"/>
        </w:rPr>
        <w:t>13.</w:t>
      </w:r>
      <w:r w:rsidR="00B34467">
        <w:rPr>
          <w:rFonts w:cstheme="minorHAnsi"/>
        </w:rPr>
        <w:t xml:space="preserve"> </w:t>
      </w:r>
      <w:r w:rsidR="00162CB2" w:rsidRPr="00D647ED">
        <w:rPr>
          <w:rFonts w:cstheme="minorHAnsi"/>
        </w:rPr>
        <w:t>decembra sēdē tika pārrunāts Plāna projekts</w:t>
      </w:r>
      <w:r w:rsidR="009B29E9" w:rsidRPr="00D647ED">
        <w:rPr>
          <w:rFonts w:cstheme="minorHAnsi"/>
        </w:rPr>
        <w:t>.</w:t>
      </w:r>
      <w:r w:rsidRPr="00D647ED">
        <w:rPr>
          <w:rFonts w:cstheme="minorHAnsi"/>
        </w:rPr>
        <w:t xml:space="preserve"> </w:t>
      </w:r>
      <w:bookmarkEnd w:id="4"/>
    </w:p>
    <w:p w14:paraId="28E2BA8F" w14:textId="6BD10279" w:rsidR="002703DD" w:rsidRPr="00D647ED" w:rsidRDefault="002703DD" w:rsidP="00DC72BB">
      <w:pPr>
        <w:widowControl w:val="0"/>
        <w:spacing w:before="120" w:after="120" w:line="264" w:lineRule="auto"/>
        <w:ind w:firstLine="567"/>
        <w:jc w:val="both"/>
        <w:rPr>
          <w:rFonts w:cstheme="minorHAnsi"/>
        </w:rPr>
      </w:pPr>
      <w:r w:rsidRPr="00D647ED">
        <w:rPr>
          <w:rFonts w:cstheme="minorHAnsi"/>
        </w:rPr>
        <w:t>Līdztekus LM un sadarbības partneru iniciatīvām Plānā iekļauti arī pasākumi, kas izriet no šādiem, jau uzsāktiem projektiem: LM projekti “Vienlīdzīgu iespēju un nediskriminācijas veicināšana,”</w:t>
      </w:r>
      <w:r w:rsidRPr="00D647ED">
        <w:rPr>
          <w:rStyle w:val="FootnoteReference"/>
          <w:rFonts w:cstheme="minorHAnsi"/>
        </w:rPr>
        <w:footnoteReference w:id="3"/>
      </w:r>
      <w:r w:rsidRPr="00D647ED">
        <w:rPr>
          <w:rFonts w:cstheme="minorHAnsi"/>
        </w:rPr>
        <w:t xml:space="preserve"> “Pasākumi ģimenes un darba dzīves saskaņošanai”</w:t>
      </w:r>
      <w:r w:rsidRPr="00D647ED">
        <w:rPr>
          <w:rStyle w:val="FootnoteReference"/>
          <w:rFonts w:cstheme="minorHAnsi"/>
        </w:rPr>
        <w:footnoteReference w:id="4"/>
      </w:r>
      <w:r w:rsidRPr="00D647ED">
        <w:rPr>
          <w:rFonts w:cstheme="minorHAnsi"/>
        </w:rPr>
        <w:t xml:space="preserve"> un “Atbalsta pasākumi diskriminācijas riskam pakļautajām grupām vienlīdzīgu iespēju un tiesību realizēšanai dažādās dzīves jomās</w:t>
      </w:r>
      <w:r w:rsidRPr="00D647ED">
        <w:rPr>
          <w:rStyle w:val="FootnoteReference"/>
          <w:rFonts w:cstheme="minorHAnsi"/>
        </w:rPr>
        <w:footnoteReference w:id="5"/>
      </w:r>
      <w:r w:rsidRPr="00D647ED">
        <w:rPr>
          <w:rFonts w:cstheme="minorHAnsi"/>
        </w:rPr>
        <w:t xml:space="preserve">,” kurus plānots īstenot </w:t>
      </w:r>
      <w:r w:rsidR="00AD6BC7" w:rsidRPr="00D647ED">
        <w:rPr>
          <w:rFonts w:cstheme="minorHAnsi"/>
        </w:rPr>
        <w:t xml:space="preserve">laikā no </w:t>
      </w:r>
      <w:r w:rsidRPr="00D647ED">
        <w:rPr>
          <w:rFonts w:cstheme="minorHAnsi"/>
        </w:rPr>
        <w:t>2024.</w:t>
      </w:r>
      <w:r w:rsidR="00AD6BC7" w:rsidRPr="00D647ED">
        <w:rPr>
          <w:rFonts w:cstheme="minorHAnsi"/>
        </w:rPr>
        <w:t>līdz</w:t>
      </w:r>
      <w:r w:rsidR="00310A34" w:rsidRPr="00D647ED">
        <w:rPr>
          <w:rFonts w:cstheme="minorHAnsi"/>
        </w:rPr>
        <w:t xml:space="preserve"> </w:t>
      </w:r>
      <w:r w:rsidRPr="00D647ED">
        <w:rPr>
          <w:rFonts w:cstheme="minorHAnsi"/>
        </w:rPr>
        <w:lastRenderedPageBreak/>
        <w:t>202</w:t>
      </w:r>
      <w:r w:rsidR="005B74A0" w:rsidRPr="00D647ED">
        <w:rPr>
          <w:rFonts w:cstheme="minorHAnsi"/>
        </w:rPr>
        <w:t>9</w:t>
      </w:r>
      <w:r w:rsidRPr="00D647ED">
        <w:rPr>
          <w:rFonts w:cstheme="minorHAnsi"/>
        </w:rPr>
        <w:t>.gad</w:t>
      </w:r>
      <w:r w:rsidR="00AD6BC7" w:rsidRPr="00D647ED">
        <w:rPr>
          <w:rFonts w:cstheme="minorHAnsi"/>
        </w:rPr>
        <w:t>am</w:t>
      </w:r>
      <w:r w:rsidR="00EF6CE5" w:rsidRPr="00D647ED">
        <w:rPr>
          <w:rFonts w:cstheme="minorHAnsi"/>
        </w:rPr>
        <w:t>.</w:t>
      </w:r>
      <w:r w:rsidRPr="00D647ED">
        <w:rPr>
          <w:rFonts w:cstheme="minorHAnsi"/>
        </w:rPr>
        <w:t xml:space="preserve"> </w:t>
      </w:r>
    </w:p>
    <w:p w14:paraId="7861D246" w14:textId="786F84CF" w:rsidR="00555413" w:rsidRDefault="002703DD" w:rsidP="00DC72BB">
      <w:pPr>
        <w:widowControl w:val="0"/>
        <w:spacing w:before="120" w:after="120" w:line="264" w:lineRule="auto"/>
        <w:ind w:firstLine="567"/>
        <w:jc w:val="both"/>
        <w:rPr>
          <w:rFonts w:cstheme="minorHAnsi"/>
        </w:rPr>
      </w:pPr>
      <w:r w:rsidRPr="00D647ED">
        <w:rPr>
          <w:rFonts w:cstheme="minorHAnsi"/>
        </w:rPr>
        <w:t>2024.</w:t>
      </w:r>
      <w:r w:rsidRPr="00636984">
        <w:rPr>
          <w:rFonts w:cstheme="minorHAnsi"/>
        </w:rPr>
        <w:t>gada (..)</w:t>
      </w:r>
      <w:r w:rsidRPr="00D647ED">
        <w:rPr>
          <w:rFonts w:cstheme="minorHAnsi"/>
        </w:rPr>
        <w:t xml:space="preserve"> .janvārī Plāna projekts tika publicēts TAP, tādējādi </w:t>
      </w:r>
      <w:bookmarkStart w:id="5" w:name="_Hlk71362613"/>
      <w:r w:rsidRPr="00D647ED">
        <w:rPr>
          <w:rFonts w:cstheme="minorHAnsi"/>
        </w:rPr>
        <w:t xml:space="preserve">nodrošinot sabiedrības līdzdalības iespējas dokumenta izstrādes procesā. Publiskajā apspriedē piedalījās (…), kopumā sniedzot </w:t>
      </w:r>
      <w:r w:rsidRPr="00636984">
        <w:rPr>
          <w:rFonts w:cstheme="minorHAnsi"/>
        </w:rPr>
        <w:t>(…)</w:t>
      </w:r>
      <w:r w:rsidRPr="00D647ED">
        <w:rPr>
          <w:rFonts w:cstheme="minorHAnsi"/>
        </w:rPr>
        <w:t xml:space="preserve"> priekšlikumus, iebildumus un komentārus par sagatavoto Plāna projektu. </w:t>
      </w:r>
      <w:r w:rsidR="00B811FA">
        <w:rPr>
          <w:rFonts w:cstheme="minorHAnsi"/>
        </w:rPr>
        <w:t>(tiks papildināts)</w:t>
      </w:r>
      <w:r w:rsidR="00C54864">
        <w:rPr>
          <w:rFonts w:cstheme="minorHAnsi"/>
        </w:rPr>
        <w:br w:type="page"/>
      </w:r>
    </w:p>
    <w:bookmarkEnd w:id="3"/>
    <w:bookmarkEnd w:id="5"/>
    <w:p w14:paraId="58E9A703" w14:textId="77777777" w:rsidR="00522373" w:rsidRDefault="00522373" w:rsidP="00BF5500">
      <w:pPr>
        <w:numPr>
          <w:ilvl w:val="0"/>
          <w:numId w:val="2"/>
        </w:numPr>
        <w:spacing w:before="100" w:beforeAutospacing="1" w:after="100" w:afterAutospacing="1" w:line="259" w:lineRule="auto"/>
        <w:rPr>
          <w:b/>
          <w:bCs/>
          <w:sz w:val="22"/>
          <w:szCs w:val="22"/>
        </w:rPr>
        <w:sectPr w:rsidR="00522373" w:rsidSect="00FD6DE7">
          <w:headerReference w:type="default" r:id="rId8"/>
          <w:footerReference w:type="default" r:id="rId9"/>
          <w:pgSz w:w="11906" w:h="16838"/>
          <w:pgMar w:top="1440" w:right="1797" w:bottom="1440" w:left="1797" w:header="709" w:footer="709" w:gutter="0"/>
          <w:cols w:space="708"/>
          <w:docGrid w:linePitch="360"/>
        </w:sectPr>
      </w:pPr>
    </w:p>
    <w:p w14:paraId="451A9654" w14:textId="36363706" w:rsidR="00BF5500" w:rsidRPr="00065FF1" w:rsidRDefault="00771A5A" w:rsidP="00BF5500">
      <w:pPr>
        <w:numPr>
          <w:ilvl w:val="0"/>
          <w:numId w:val="2"/>
        </w:numPr>
        <w:spacing w:before="100" w:beforeAutospacing="1" w:after="100" w:afterAutospacing="1" w:line="259" w:lineRule="auto"/>
        <w:rPr>
          <w:b/>
          <w:bCs/>
        </w:rPr>
      </w:pPr>
      <w:r w:rsidRPr="00065FF1">
        <w:rPr>
          <w:b/>
          <w:bCs/>
        </w:rPr>
        <w:lastRenderedPageBreak/>
        <w:t xml:space="preserve">Rīcības </w:t>
      </w:r>
      <w:r w:rsidR="00BF5500" w:rsidRPr="00065FF1">
        <w:rPr>
          <w:b/>
          <w:bCs/>
        </w:rPr>
        <w:t>virziens: Sieviešu un vīriešu vienlīdzīgas iespējas darba tirgū un izglītībā</w:t>
      </w:r>
    </w:p>
    <w:p w14:paraId="4C5C60FB" w14:textId="0B864236" w:rsidR="00700A66" w:rsidRDefault="00700A66" w:rsidP="00DC72BB">
      <w:pPr>
        <w:spacing w:before="120" w:after="120" w:line="264" w:lineRule="auto"/>
        <w:jc w:val="both"/>
      </w:pPr>
      <w:r>
        <w:t>Sieviešu un vīriešu vienlīdzīgām iespējām darba tirgū un izglītībā ir ļoti būtiska loma dzimumu līdztiesības un sieviešu tiesību veicināšanai sabiedrībā kopumā. Galvenie izaicinājumi Latvijā šajā jomā ir:</w:t>
      </w:r>
    </w:p>
    <w:p w14:paraId="0F015DC5" w14:textId="5E08DD49" w:rsidR="00700A66" w:rsidRPr="00B05F35" w:rsidRDefault="00700A66" w:rsidP="00DC72BB">
      <w:pPr>
        <w:pStyle w:val="ListParagraph"/>
        <w:numPr>
          <w:ilvl w:val="0"/>
          <w:numId w:val="3"/>
        </w:numPr>
        <w:spacing w:before="120" w:after="120" w:line="264" w:lineRule="auto"/>
        <w:contextualSpacing w:val="0"/>
        <w:jc w:val="both"/>
      </w:pPr>
      <w:r w:rsidRPr="00B05F35">
        <w:t>segregācija izglītībā un darba tirgū</w:t>
      </w:r>
      <w:r w:rsidR="00B90B93">
        <w:t xml:space="preserve"> pēc dzimuma</w:t>
      </w:r>
      <w:r w:rsidRPr="00B05F35">
        <w:t>, veidojot tā sauktās “sieviešu” un “vīriešu” nozares</w:t>
      </w:r>
      <w:r w:rsidR="00695FD1">
        <w:t xml:space="preserve"> un profesijas</w:t>
      </w:r>
      <w:r w:rsidR="00B90B93">
        <w:t xml:space="preserve"> </w:t>
      </w:r>
    </w:p>
    <w:p w14:paraId="42770736" w14:textId="3CDA6520" w:rsidR="00700A66" w:rsidRPr="00B05F35" w:rsidRDefault="00700A66" w:rsidP="00DC72BB">
      <w:pPr>
        <w:pStyle w:val="ListParagraph"/>
        <w:numPr>
          <w:ilvl w:val="0"/>
          <w:numId w:val="3"/>
        </w:numPr>
        <w:spacing w:before="120" w:after="120" w:line="264" w:lineRule="auto"/>
        <w:contextualSpacing w:val="0"/>
        <w:jc w:val="both"/>
      </w:pPr>
      <w:r w:rsidRPr="00B05F35">
        <w:t xml:space="preserve">segregācija nodarbinātības kontekstā </w:t>
      </w:r>
      <w:r w:rsidR="009B1F07">
        <w:t>(sieviešu pārsvars zemāk apmaksāt</w:t>
      </w:r>
      <w:r w:rsidR="009F2DFB">
        <w:t>ajos sektoros)</w:t>
      </w:r>
      <w:r w:rsidR="009B1F07">
        <w:t xml:space="preserve"> </w:t>
      </w:r>
      <w:r w:rsidRPr="00B05F35">
        <w:t>un dzimumu līdzsvara nodrošināšana vadošajos amatos privātajā sektorā un lēmumu pieņemšan</w:t>
      </w:r>
      <w:r w:rsidR="000709B7">
        <w:t>as procesos gan privātajā, gan sabiedriskajā sektorā</w:t>
      </w:r>
      <w:r w:rsidRPr="00B05F35">
        <w:t>;</w:t>
      </w:r>
    </w:p>
    <w:p w14:paraId="6B5C88BE" w14:textId="6CD3B320" w:rsidR="00700A66" w:rsidRPr="00B05F35" w:rsidRDefault="000709B7" w:rsidP="00DC72BB">
      <w:pPr>
        <w:pStyle w:val="ListParagraph"/>
        <w:numPr>
          <w:ilvl w:val="0"/>
          <w:numId w:val="3"/>
        </w:numPr>
        <w:spacing w:before="120" w:after="120" w:line="264" w:lineRule="auto"/>
        <w:contextualSpacing w:val="0"/>
        <w:jc w:val="both"/>
      </w:pPr>
      <w:r>
        <w:t>D</w:t>
      </w:r>
      <w:r w:rsidR="00700A66" w:rsidRPr="00B05F35">
        <w:t>arba samaksas atšķirība</w:t>
      </w:r>
      <w:r>
        <w:t>s starp sievietēm un vīriešiem</w:t>
      </w:r>
      <w:r w:rsidR="00700A66" w:rsidRPr="00B05F35">
        <w:t>;</w:t>
      </w:r>
    </w:p>
    <w:p w14:paraId="57F6D0F7" w14:textId="19A668CE" w:rsidR="00700A66" w:rsidRDefault="00700A66" w:rsidP="00DC72BB">
      <w:pPr>
        <w:pStyle w:val="ListParagraph"/>
        <w:numPr>
          <w:ilvl w:val="0"/>
          <w:numId w:val="3"/>
        </w:numPr>
        <w:spacing w:before="120" w:after="120" w:line="264" w:lineRule="auto"/>
        <w:contextualSpacing w:val="0"/>
        <w:jc w:val="both"/>
      </w:pPr>
      <w:r w:rsidRPr="00B05F35">
        <w:t>Darba un privātās dzīves saskaņošana</w:t>
      </w:r>
      <w:r w:rsidR="002A151E">
        <w:t>, kā arī</w:t>
      </w:r>
      <w:r w:rsidRPr="00B05F35">
        <w:t xml:space="preserve"> vīriešu aktīvāka iesaiste neapmaksātajā aprūpes darbā</w:t>
      </w:r>
      <w:r>
        <w:t>.</w:t>
      </w:r>
    </w:p>
    <w:p w14:paraId="2805FDCB" w14:textId="1EB925A6" w:rsidR="00BF5500" w:rsidRDefault="00D75E3F" w:rsidP="00DC72BB">
      <w:pPr>
        <w:spacing w:before="120" w:after="120" w:line="264" w:lineRule="auto"/>
        <w:jc w:val="both"/>
      </w:pPr>
      <w:r>
        <w:t>Neskatoties uz to, ka Latvijā pastāv</w:t>
      </w:r>
      <w:r w:rsidR="006440C2" w:rsidRPr="006440C2">
        <w:t xml:space="preserve"> tiesiska</w:t>
      </w:r>
      <w:r>
        <w:t>is</w:t>
      </w:r>
      <w:r w:rsidR="006440C2" w:rsidRPr="006440C2">
        <w:t xml:space="preserve"> regulēj</w:t>
      </w:r>
      <w:r>
        <w:t>ums</w:t>
      </w:r>
      <w:r w:rsidR="006440C2">
        <w:t>, kas nosaka atšķirīgas attieksmes aizliegumu izglītībā un nodarbinātībā,</w:t>
      </w:r>
      <w:r w:rsidR="006440C2" w:rsidRPr="006440C2">
        <w:t xml:space="preserve"> praksē joprojām gan izglītības, gan nodarbinātības jomā pastāv ar dzimumu saistīti stereotipi</w:t>
      </w:r>
      <w:r w:rsidR="002728A7">
        <w:t xml:space="preserve"> un aizspriedum</w:t>
      </w:r>
      <w:r w:rsidR="00C83250">
        <w:t>i</w:t>
      </w:r>
      <w:r w:rsidR="002728A7">
        <w:t>,</w:t>
      </w:r>
      <w:r w:rsidR="006440C2" w:rsidRPr="006440C2">
        <w:t xml:space="preserve"> kas var ierobežot sieviešu un vīriešu izvēles</w:t>
      </w:r>
      <w:r w:rsidR="002728A7">
        <w:t>, iespējas</w:t>
      </w:r>
      <w:r w:rsidR="006440C2" w:rsidRPr="006440C2">
        <w:t xml:space="preserve"> un tiesības, kā arī veicināt diskrimināciju. Īpaši būtiski ir pievērsties ar dzimumu saistītu stereotipu izglītības jomā</w:t>
      </w:r>
      <w:r w:rsidR="00C17DFC">
        <w:t xml:space="preserve"> mazināšanai</w:t>
      </w:r>
      <w:r w:rsidR="006440C2" w:rsidRPr="006440C2">
        <w:t>, kas pēc tam ietekmē šo stereotipu izplatību nodarbinātībā un citās jomās.</w:t>
      </w:r>
      <w:r w:rsidR="00C83250">
        <w:t xml:space="preserve"> </w:t>
      </w:r>
      <w:r w:rsidR="00C83250" w:rsidRPr="00BD1FCB">
        <w:t>Stereotipi</w:t>
      </w:r>
      <w:r w:rsidR="00C83250">
        <w:rPr>
          <w:rStyle w:val="FootnoteReference"/>
        </w:rPr>
        <w:footnoteReference w:id="6"/>
      </w:r>
      <w:r w:rsidR="00C83250" w:rsidRPr="00BD1FCB">
        <w:t xml:space="preserve"> ir apkārtējās pasaules uztveres modeļi, kas padara sociālo pasauli indivīdam saprotamāku, taču vairumā gadījumu ie</w:t>
      </w:r>
      <w:r w:rsidR="00C83250">
        <w:t>t</w:t>
      </w:r>
      <w:r w:rsidR="00C83250" w:rsidRPr="00BD1FCB">
        <w:t>ver virkni negatīvu un ierobežojošu novērtējumu</w:t>
      </w:r>
      <w:r w:rsidR="00B73EBA">
        <w:t>.</w:t>
      </w:r>
    </w:p>
    <w:p w14:paraId="2A94FA92" w14:textId="6AF11C21" w:rsidR="009B7DE0" w:rsidRDefault="00504F68" w:rsidP="00DC72BB">
      <w:pPr>
        <w:spacing w:before="120" w:after="120" w:line="264" w:lineRule="auto"/>
        <w:jc w:val="both"/>
      </w:pPr>
      <w:r w:rsidRPr="00504F68">
        <w:t xml:space="preserve">OECD jaunākie pētījumi un rekomendācijas izglītības un dzimumu līdztiesības jomās norāda, ka ar dzimumu saistīti stereotipi ir viens no galvenajiem iemesliem ar dzimumu saistītajām atšķirībām karjeras izvēlē, kas </w:t>
      </w:r>
      <w:r w:rsidR="009C263D">
        <w:t>veicina</w:t>
      </w:r>
      <w:r w:rsidR="009C263D" w:rsidRPr="00504F68">
        <w:t xml:space="preserve"> </w:t>
      </w:r>
      <w:r w:rsidRPr="00504F68">
        <w:t>segregāciju</w:t>
      </w:r>
      <w:r w:rsidR="004E49CE">
        <w:t xml:space="preserve"> arī</w:t>
      </w:r>
      <w:r w:rsidRPr="00504F68">
        <w:t xml:space="preserve"> darba tirgū.</w:t>
      </w:r>
      <w:r>
        <w:t xml:space="preserve"> </w:t>
      </w:r>
      <w:r w:rsidRPr="00504F68">
        <w:t>Jau pirmajos dzīves gados bērnus ietekmē stereotipiskas gaidas un normas, kas izriet no viņu dzimuma un ko ve</w:t>
      </w:r>
      <w:r w:rsidR="009C263D">
        <w:t>i</w:t>
      </w:r>
      <w:r w:rsidRPr="00504F68">
        <w:t>cina vecāki, skolas, skolotāji un citas sociālās institūcijas. Tā, piemēram, dati no agrākiem Starptautiskās skolēnu novērtēšanas programmas pētījumiem (PISA) norāda, ka vecāki biežāk sagaida, ka tieši dēli nevis meitas veidos karjeru STEM jomā, pat tad, ja zēniem un meitenēm bija vienlīdz labi rezultāti matemātikā un dabaszinātnēs.</w:t>
      </w:r>
      <w:r w:rsidR="00B26262">
        <w:rPr>
          <w:rStyle w:val="FootnoteReference"/>
        </w:rPr>
        <w:footnoteReference w:id="7"/>
      </w:r>
      <w:r w:rsidRPr="00504F68">
        <w:t xml:space="preserve">  </w:t>
      </w:r>
      <w:r w:rsidR="007B52F3" w:rsidRPr="009776A2">
        <w:t xml:space="preserve">Ņemot to vērā, </w:t>
      </w:r>
      <w:r w:rsidR="007B52F3" w:rsidRPr="002B2F61">
        <w:t>izpratne</w:t>
      </w:r>
      <w:r w:rsidR="007B52F3">
        <w:t>s veidošana</w:t>
      </w:r>
      <w:r w:rsidR="007B52F3" w:rsidRPr="009776A2">
        <w:t xml:space="preserve"> būtu jāsāk </w:t>
      </w:r>
      <w:r w:rsidR="007B52F3" w:rsidRPr="009776A2">
        <w:lastRenderedPageBreak/>
        <w:t xml:space="preserve">pēc iespējas agrāk, </w:t>
      </w:r>
      <w:r w:rsidR="007B52F3">
        <w:t>respektējot</w:t>
      </w:r>
      <w:r w:rsidR="007B52F3" w:rsidRPr="009776A2">
        <w:t xml:space="preserve"> zēnu un meiteņu līdzvērtīgas iespējas un </w:t>
      </w:r>
      <w:r w:rsidR="007B52F3">
        <w:t xml:space="preserve">attīstot izpratni par </w:t>
      </w:r>
      <w:r w:rsidR="0030252F">
        <w:t xml:space="preserve">to, kā dažādie </w:t>
      </w:r>
      <w:r w:rsidR="00872DB9">
        <w:t xml:space="preserve">ar dzimumu saistītie </w:t>
      </w:r>
      <w:r w:rsidR="0030252F">
        <w:t xml:space="preserve">stereotipi un </w:t>
      </w:r>
      <w:r w:rsidR="00872DB9">
        <w:t xml:space="preserve">aizspriedumi </w:t>
      </w:r>
      <w:r w:rsidR="007B52F3">
        <w:t>ietekm</w:t>
      </w:r>
      <w:r w:rsidR="00872DB9">
        <w:t xml:space="preserve">ē </w:t>
      </w:r>
      <w:r w:rsidR="007B52F3">
        <w:t>cilvēka izvēl</w:t>
      </w:r>
      <w:r w:rsidR="00872DB9">
        <w:t xml:space="preserve">es </w:t>
      </w:r>
      <w:r w:rsidR="007B52F3">
        <w:t>un darbīb</w:t>
      </w:r>
      <w:r w:rsidR="00872DB9">
        <w:t>as</w:t>
      </w:r>
      <w:r w:rsidR="007B52F3">
        <w:t xml:space="preserve"> visas dzīves laikā.</w:t>
      </w:r>
    </w:p>
    <w:p w14:paraId="694EA24B" w14:textId="517B2DA6" w:rsidR="009B132A" w:rsidRDefault="00A75836" w:rsidP="00DC72BB">
      <w:pPr>
        <w:spacing w:before="120" w:after="120" w:line="264" w:lineRule="auto"/>
        <w:jc w:val="both"/>
      </w:pPr>
      <w:r>
        <w:t>Latvijas izglītības nozarē ir vērojama izteikta ar dzimumu stereotipiem saistīta dzimumu segregācija izvēloties izglītības nozares. Saskaņā ar Eiropas Dzimumu līdztiesības indeksa 2023. gada datiem Latvijā ir viena no lielākajām dzimumu segregācijām humanitārajās un eksaktajās zinātnēs Eiropas Savienībā.</w:t>
      </w:r>
      <w:r w:rsidR="00B26262">
        <w:rPr>
          <w:rStyle w:val="FootnoteReference"/>
        </w:rPr>
        <w:footnoteReference w:id="8"/>
      </w:r>
      <w:r>
        <w:t xml:space="preserve"> </w:t>
      </w:r>
      <w:r w:rsidR="00245420">
        <w:t>Sievietes visbiežāk izvēlas turpināt izglītību tādās nozarēs kā izglītība, veselība, labklājība, māksla un humanitārās zinātnes.</w:t>
      </w:r>
      <w:r w:rsidR="009B132A">
        <w:t xml:space="preserve"> </w:t>
      </w:r>
      <w:r w:rsidR="009B132A" w:rsidRPr="009B132A">
        <w:t xml:space="preserve">Kā liecina </w:t>
      </w:r>
      <w:r w:rsidR="00714E74">
        <w:t>CSP</w:t>
      </w:r>
      <w:r w:rsidR="009B132A" w:rsidRPr="009B132A">
        <w:t xml:space="preserve"> dati, Latvijā 2022. gadā zinātnes un tehnisko jomu (dabaszinātnes, matemātika, IT, inženierzinātnes, ražošana un būvniecība) absolventu īpatsvarā tikai gandrīz trešdaļa (29,9%) absolventes </w:t>
      </w:r>
      <w:r w:rsidR="00BD34EB">
        <w:t xml:space="preserve">ir </w:t>
      </w:r>
      <w:r w:rsidR="009B132A" w:rsidRPr="009B132A">
        <w:t>sievietes.</w:t>
      </w:r>
      <w:r w:rsidR="00B26262">
        <w:rPr>
          <w:rStyle w:val="FootnoteReference"/>
        </w:rPr>
        <w:footnoteReference w:id="9"/>
      </w:r>
      <w:r w:rsidR="009B132A" w:rsidRPr="009B132A">
        <w:t xml:space="preserve"> </w:t>
      </w:r>
    </w:p>
    <w:p w14:paraId="0C475B5B" w14:textId="0E277551" w:rsidR="00A75836" w:rsidRPr="00D647ED" w:rsidRDefault="009B132A" w:rsidP="00DC72BB">
      <w:pPr>
        <w:spacing w:before="120" w:after="120" w:line="264" w:lineRule="auto"/>
        <w:jc w:val="both"/>
      </w:pPr>
      <w:r w:rsidRPr="00D647ED">
        <w:t>Papildus</w:t>
      </w:r>
      <w:r w:rsidR="004B1385">
        <w:t xml:space="preserve"> ir</w:t>
      </w:r>
      <w:r w:rsidR="00BD34EB" w:rsidRPr="00D647ED">
        <w:t xml:space="preserve"> svarīgi uzsvērt</w:t>
      </w:r>
      <w:r w:rsidRPr="00D647ED">
        <w:t>, ka ar dzimumu saistīti stereotipi ietekmē arī skolēnu iesaisti un sekmes izglītības procesā</w:t>
      </w:r>
      <w:r w:rsidR="003C0BF2" w:rsidRPr="00D647ED">
        <w:t xml:space="preserve">, kā arī fundamentālu prasmju attīstību. Īpaši izteikta atšķirība starp zēniem un meitenēm ir vērojama lasīstprasmes </w:t>
      </w:r>
      <w:r w:rsidR="006860F2" w:rsidRPr="00D647ED">
        <w:t>apgūšanā.</w:t>
      </w:r>
      <w:r w:rsidR="005655B0" w:rsidRPr="00D647ED">
        <w:rPr>
          <w:rStyle w:val="FootnoteReference"/>
        </w:rPr>
        <w:footnoteReference w:id="10"/>
      </w:r>
      <w:r w:rsidR="00E30F0D" w:rsidRPr="00D647ED">
        <w:t xml:space="preserve"> Apkopojot </w:t>
      </w:r>
      <w:r w:rsidR="00257BAB" w:rsidRPr="00D647ED">
        <w:t>starptautiskā lasītprasmes novērtēšanas pētījuma PIRLS 2021 Latvijas dalībnieku rezultātus</w:t>
      </w:r>
      <w:r w:rsidR="001119FD" w:rsidRPr="00D647ED">
        <w:rPr>
          <w:rStyle w:val="FootnoteReference"/>
        </w:rPr>
        <w:footnoteReference w:id="11"/>
      </w:r>
      <w:r w:rsidR="00257BAB" w:rsidRPr="00D647ED">
        <w:t xml:space="preserve">, tika konstatēs, ka </w:t>
      </w:r>
      <w:r w:rsidR="00BF77C9" w:rsidRPr="00D647ED">
        <w:t xml:space="preserve">Latvijā ir liela atšķirība vidējos sasniegumos starp zēniem un meitenēm. Tas nozīmē, ka ar zēnu lasītprasmes attīstīšanu ir jānodarbojas pastiprināti, izstrādājot pasākumus un stratēģijas, </w:t>
      </w:r>
      <w:r w:rsidR="003E0ED2" w:rsidRPr="00D647ED">
        <w:t>kas uzrunā zēnus, laužot ar dzimumu saistītus stereotipus par lasītprasmi un tās apgūšanu.</w:t>
      </w:r>
    </w:p>
    <w:p w14:paraId="4AFF2F75" w14:textId="74A738E5" w:rsidR="00FE0F74" w:rsidRPr="004A5902" w:rsidRDefault="00E7227E" w:rsidP="00B34467">
      <w:pPr>
        <w:spacing w:before="120" w:after="120" w:line="264" w:lineRule="auto"/>
        <w:jc w:val="both"/>
        <w:rPr>
          <w:rFonts w:ascii="Times New Roman" w:hAnsi="Times New Roman"/>
        </w:rPr>
      </w:pPr>
      <w:r w:rsidRPr="00D647ED">
        <w:t xml:space="preserve">Ar dzimumu saistītu stereotipu radītā segregācija izglītībā un prasmju apguvē </w:t>
      </w:r>
      <w:r w:rsidR="00A67EC5" w:rsidRPr="00D647ED">
        <w:t>ietekmē</w:t>
      </w:r>
      <w:r w:rsidR="00A67EC5">
        <w:t xml:space="preserve"> arī dzimumu horizontālo segregāciju darba tirgū, kas Latvijā ir īpaši izteikta, veidojoties tā sauktajām “sieviešu” un “vīriešu” profesijām.</w:t>
      </w:r>
      <w:r w:rsidR="00814C08">
        <w:t xml:space="preserve"> Pēc C</w:t>
      </w:r>
      <w:r w:rsidR="00714E74">
        <w:t>SP</w:t>
      </w:r>
      <w:r w:rsidR="00814C08">
        <w:t xml:space="preserve"> datiem visizplatītākās nozares, kurās strādā vīrieši, ir rūpniecības un transporta, uzglabāšanas, informācijas un komunikācijas pakalpojumu nozarē, savukārt sieviet</w:t>
      </w:r>
      <w:r w:rsidR="000C4218">
        <w:t>ēm</w:t>
      </w:r>
      <w:r w:rsidR="00814C08">
        <w:t xml:space="preserve"> – tirdzniecības un izglītības nozar</w:t>
      </w:r>
      <w:r w:rsidR="000C4218">
        <w:t>e</w:t>
      </w:r>
      <w:r w:rsidR="00814C08">
        <w:t>s. Vislielākais sieviešu īpatsvars ir veselības un sociālās aprūpes nozarē (85.6%), savukārt lielākais vīriešu īpatsvars – būvniecībā (91</w:t>
      </w:r>
      <w:r w:rsidR="00CC5DBA">
        <w:t xml:space="preserve"> %).</w:t>
      </w:r>
      <w:r w:rsidR="00CC5DBA">
        <w:rPr>
          <w:rStyle w:val="FootnoteReference"/>
        </w:rPr>
        <w:footnoteReference w:id="12"/>
      </w:r>
      <w:r w:rsidR="00AB68DA">
        <w:t xml:space="preserve"> Papildus horizontālajai segregācijai darba tirgū ir novērojama arī vertikālā segregācija </w:t>
      </w:r>
      <w:r w:rsidR="00C073CF">
        <w:t>–</w:t>
      </w:r>
      <w:r w:rsidR="00AB68DA">
        <w:t xml:space="preserve"> </w:t>
      </w:r>
      <w:r w:rsidR="00C073CF">
        <w:t>sievietes retāk ieņem augstus amatus lēmumus pieņemošās pozīcijās, kā arī retāk iesaistās politikā. Vienlaikus, salīdzinot ar ES vidējo līmeni, Latvija ir līderu pozīcijās pēc sieviešu īpatsvara vadītāju amatos. 2022. gadā starp darba ņēmējiem Latvijā 56.1% vadītāju bija sievietes. Lai arī šis rādītājs ir salīdzinoši augsts</w:t>
      </w:r>
      <w:r w:rsidR="00181B6C">
        <w:t xml:space="preserve">, šī pārstāvība nav vienlīdzīga </w:t>
      </w:r>
      <w:r w:rsidR="001F20ED">
        <w:t>visās</w:t>
      </w:r>
      <w:r w:rsidR="00181B6C">
        <w:t xml:space="preserve"> nozarēs. Tā, piemēram, Latvijas lielāko uzņēmumu valdēs</w:t>
      </w:r>
      <w:r w:rsidR="007A29F7">
        <w:t xml:space="preserve"> sieviešu ir </w:t>
      </w:r>
      <w:r w:rsidR="00181B6C">
        <w:t>nedaudz mazāk par vienu ceturto daļu (23.3%).</w:t>
      </w:r>
      <w:r w:rsidR="00181B6C">
        <w:rPr>
          <w:rStyle w:val="FootnoteReference"/>
        </w:rPr>
        <w:footnoteReference w:id="13"/>
      </w:r>
      <w:r w:rsidR="00114889">
        <w:t xml:space="preserve"> </w:t>
      </w:r>
      <w:r w:rsidR="0064463F" w:rsidRPr="00636984">
        <w:rPr>
          <w:rFonts w:cstheme="minorHAnsi"/>
        </w:rPr>
        <w:t>Nevienlīdzīgas sieviešu un vīriešu pārstāvniecības lēmumu pieņemšanas procesos un amatos iemesli ir dažā</w:t>
      </w:r>
      <w:r w:rsidR="00B73297" w:rsidRPr="00636984">
        <w:rPr>
          <w:rFonts w:cstheme="minorHAnsi"/>
        </w:rPr>
        <w:t>di – aizspriedum</w:t>
      </w:r>
      <w:r w:rsidR="00266F7F" w:rsidRPr="00636984">
        <w:rPr>
          <w:rFonts w:cstheme="minorHAnsi"/>
        </w:rPr>
        <w:t>os</w:t>
      </w:r>
      <w:r w:rsidR="00B73297" w:rsidRPr="00636984">
        <w:rPr>
          <w:rFonts w:cstheme="minorHAnsi"/>
        </w:rPr>
        <w:t xml:space="preserve"> un stereotipos </w:t>
      </w:r>
      <w:r w:rsidR="00266F7F" w:rsidRPr="00636984">
        <w:rPr>
          <w:rFonts w:cstheme="minorHAnsi"/>
        </w:rPr>
        <w:t xml:space="preserve">balstīti priekšstati par sieviešu un vīriešu lomu sabiedrībā, </w:t>
      </w:r>
      <w:r w:rsidR="001271E8" w:rsidRPr="00636984">
        <w:rPr>
          <w:rFonts w:cstheme="minorHAnsi"/>
        </w:rPr>
        <w:t xml:space="preserve">politiskajā </w:t>
      </w:r>
      <w:r w:rsidR="001271E8" w:rsidRPr="00636984">
        <w:rPr>
          <w:rFonts w:cstheme="minorHAnsi"/>
        </w:rPr>
        <w:lastRenderedPageBreak/>
        <w:t>vidē un korporatīvajā kultūrā</w:t>
      </w:r>
      <w:r w:rsidR="003006B9" w:rsidRPr="00636984">
        <w:rPr>
          <w:rFonts w:cstheme="minorHAnsi"/>
        </w:rPr>
        <w:t>,</w:t>
      </w:r>
      <w:r w:rsidR="00D80F65">
        <w:rPr>
          <w:rFonts w:cstheme="minorHAnsi"/>
        </w:rPr>
        <w:t xml:space="preserve"> kā arī izaicinājumi,</w:t>
      </w:r>
      <w:r w:rsidR="003006B9" w:rsidRPr="00636984">
        <w:rPr>
          <w:rFonts w:cstheme="minorHAnsi"/>
        </w:rPr>
        <w:t xml:space="preserve"> lai līdzsvarotu darb</w:t>
      </w:r>
      <w:r w:rsidR="00922736" w:rsidRPr="00636984">
        <w:rPr>
          <w:rFonts w:cstheme="minorHAnsi"/>
        </w:rPr>
        <w:t>u</w:t>
      </w:r>
      <w:r w:rsidR="003006B9" w:rsidRPr="00636984">
        <w:rPr>
          <w:rFonts w:cstheme="minorHAnsi"/>
        </w:rPr>
        <w:t xml:space="preserve"> un privāt</w:t>
      </w:r>
      <w:r w:rsidR="00922736" w:rsidRPr="00636984">
        <w:rPr>
          <w:rFonts w:cstheme="minorHAnsi"/>
        </w:rPr>
        <w:t xml:space="preserve">o </w:t>
      </w:r>
      <w:r w:rsidR="003006B9" w:rsidRPr="00636984">
        <w:rPr>
          <w:rFonts w:cstheme="minorHAnsi"/>
        </w:rPr>
        <w:t>dzīv</w:t>
      </w:r>
      <w:r w:rsidR="00922736" w:rsidRPr="00636984">
        <w:rPr>
          <w:rFonts w:cstheme="minorHAnsi"/>
        </w:rPr>
        <w:t>i</w:t>
      </w:r>
      <w:r w:rsidR="001271E8" w:rsidRPr="00636984">
        <w:rPr>
          <w:rFonts w:cstheme="minorHAnsi"/>
        </w:rPr>
        <w:t xml:space="preserve">. </w:t>
      </w:r>
      <w:r w:rsidR="009513F0" w:rsidRPr="00636984">
        <w:rPr>
          <w:rFonts w:cstheme="minorHAnsi"/>
        </w:rPr>
        <w:t>Lai novērstu šķēršļus situācijā</w:t>
      </w:r>
      <w:r w:rsidR="00FE0F74" w:rsidRPr="00636984">
        <w:rPr>
          <w:rFonts w:cstheme="minorHAnsi"/>
        </w:rPr>
        <w:t>s</w:t>
      </w:r>
      <w:r w:rsidR="009513F0" w:rsidRPr="00636984">
        <w:rPr>
          <w:rFonts w:cstheme="minorHAnsi"/>
        </w:rPr>
        <w:t>, kad uzņēmuma valde</w:t>
      </w:r>
      <w:r w:rsidR="00123B53" w:rsidRPr="00636984">
        <w:rPr>
          <w:rFonts w:cstheme="minorHAnsi"/>
        </w:rPr>
        <w:t>s locekli</w:t>
      </w:r>
      <w:r w:rsidR="00FE0F74" w:rsidRPr="00636984">
        <w:rPr>
          <w:rFonts w:cstheme="minorHAnsi"/>
        </w:rPr>
        <w:t>m g</w:t>
      </w:r>
      <w:r w:rsidR="00123B53" w:rsidRPr="00636984">
        <w:rPr>
          <w:rFonts w:cstheme="minorHAnsi"/>
        </w:rPr>
        <w:t xml:space="preserve">an sabiedriskajā, gan privātajā sektorā, </w:t>
      </w:r>
      <w:r w:rsidR="00FE0F74" w:rsidRPr="00636984">
        <w:rPr>
          <w:rFonts w:cstheme="minorHAnsi"/>
        </w:rPr>
        <w:t xml:space="preserve">ir liegtas iespējas </w:t>
      </w:r>
      <w:r w:rsidR="00123B53" w:rsidRPr="00636984">
        <w:rPr>
          <w:rFonts w:cstheme="minorHAnsi"/>
        </w:rPr>
        <w:t>izmantot savas tiesības uz ar grūtniecību un bērna aprūpi saistītiem atvaļinājumiem</w:t>
      </w:r>
      <w:r w:rsidR="006F5304" w:rsidRPr="00636984">
        <w:rPr>
          <w:rFonts w:cstheme="minorHAnsi"/>
        </w:rPr>
        <w:t>, Tieslietu ministrija strādā pie normatīvā regulējuma pilnveidojumiem, kas nodrošinās ikviena vecāka tie</w:t>
      </w:r>
      <w:r w:rsidR="00FE0F74" w:rsidRPr="00636984">
        <w:rPr>
          <w:rFonts w:cstheme="minorHAnsi"/>
        </w:rPr>
        <w:t>sī</w:t>
      </w:r>
      <w:r w:rsidR="006F5304" w:rsidRPr="00636984">
        <w:rPr>
          <w:rFonts w:cstheme="minorHAnsi"/>
        </w:rPr>
        <w:t>bas veiks</w:t>
      </w:r>
      <w:r w:rsidR="00FE0F74" w:rsidRPr="00636984">
        <w:rPr>
          <w:rFonts w:cstheme="minorHAnsi"/>
        </w:rPr>
        <w:t>mī</w:t>
      </w:r>
      <w:r w:rsidR="006F5304" w:rsidRPr="00636984">
        <w:rPr>
          <w:rFonts w:cstheme="minorHAnsi"/>
        </w:rPr>
        <w:t>gi saskaņot darbu un privāto dzīvi</w:t>
      </w:r>
      <w:r w:rsidR="00FE0F74" w:rsidRPr="00636984">
        <w:rPr>
          <w:rFonts w:cstheme="minorHAnsi"/>
        </w:rPr>
        <w:t>, kas ir arī viens no priekšnoteikumiem vīriešu un sieviešu līdztiesības nodrošināšanai attiecībā uz pieeju un iespējām darba tirgū.</w:t>
      </w:r>
    </w:p>
    <w:p w14:paraId="0671C494" w14:textId="0DEFF811" w:rsidR="00AB68DA" w:rsidRDefault="001F20ED" w:rsidP="00DC72BB">
      <w:pPr>
        <w:spacing w:before="120" w:after="120" w:line="264" w:lineRule="auto"/>
        <w:jc w:val="both"/>
      </w:pPr>
      <w:r>
        <w:t xml:space="preserve">Gan horizontālā, gan vertikālā segregācija </w:t>
      </w:r>
      <w:r w:rsidR="007C2513">
        <w:t xml:space="preserve">darba tirgū veido ar </w:t>
      </w:r>
      <w:r w:rsidR="004B7066">
        <w:t>dzimumu saistītu darba samaksas atšķirību, ņemot vērā nevienlīdzīgo dzimumu sadalījumu vadošos amatos, kā arī to, ka sievietes ir biežāk nodarbinātas zemāk atalgotās nozarēs un profesijās. 2022. gadā</w:t>
      </w:r>
      <w:r w:rsidR="00AB68DA">
        <w:t xml:space="preserve"> </w:t>
      </w:r>
      <w:r w:rsidR="00946453">
        <w:t>sieviešu vidējā bruto stundas izpeļņa bija par 17.1% zemāka nekā vīriešu – par katru eiro, ko nopelna vīrietis, sieviete Latvijā saņem vien 83 centus.</w:t>
      </w:r>
      <w:r w:rsidR="00D12DAF">
        <w:rPr>
          <w:rStyle w:val="FootnoteReference"/>
        </w:rPr>
        <w:footnoteReference w:id="14"/>
      </w:r>
      <w:r w:rsidR="00BB0C91">
        <w:t xml:space="preserve"> Īpaši izteikta šī atšķirība ir starp vīriešiem un sievietēm 35-44 gadu vecumā, kā arī 25-35 gadu vecumā.</w:t>
      </w:r>
      <w:r w:rsidR="00F261AA">
        <w:t xml:space="preserve"> </w:t>
      </w:r>
      <w:r w:rsidR="00F261AA" w:rsidRPr="00F261AA">
        <w:t>Vislielākā darba samaksas atšķirība ir mākslas, izklaides un atpūtas nozarē (3</w:t>
      </w:r>
      <w:r w:rsidR="00F261AA">
        <w:t>7.</w:t>
      </w:r>
      <w:r w:rsidR="00F261AA" w:rsidRPr="00F261AA">
        <w:t>2 %), kā arī informācijas un komunikācijas pakalpojumu nozarēs (34 %). Vienīgā nozare, kur sieviešu darba samaksa ir augstāka nekā vīriešiem, ir elektroenerģijas, gāzes apgādes, siltumapgādes un gaisa kondicionēšanas nozare – 2022. gadā sieviešu darba samaksa šajā nozarē bija par 6</w:t>
      </w:r>
      <w:r w:rsidR="00F261AA">
        <w:t>.</w:t>
      </w:r>
      <w:r w:rsidR="00F261AA" w:rsidRPr="00F261AA">
        <w:t>1 % lielāka nekā vīriešiem.</w:t>
      </w:r>
    </w:p>
    <w:p w14:paraId="4A0C50AF" w14:textId="620AEAF5" w:rsidR="00C1422A" w:rsidRDefault="00C1422A" w:rsidP="00DC72BB">
      <w:pPr>
        <w:spacing w:before="120" w:after="120" w:line="264" w:lineRule="auto"/>
        <w:jc w:val="both"/>
      </w:pPr>
      <w:r>
        <w:t xml:space="preserve">Darba samaksas atšķirības mazināšanai ir izšķiroša loma nevienlīdzības starp vīriešiem un sievietēm novēršanai vecumdienās. </w:t>
      </w:r>
      <w:r w:rsidR="00C46011">
        <w:t>Darba samaksas atšķirīb</w:t>
      </w:r>
      <w:r w:rsidR="004103CC">
        <w:t>as</w:t>
      </w:r>
      <w:r w:rsidR="00C46011">
        <w:t xml:space="preserve"> ietekmē arī </w:t>
      </w:r>
      <w:r w:rsidR="000B2FAE">
        <w:t xml:space="preserve">to, kāds būs </w:t>
      </w:r>
      <w:r w:rsidR="00C46011">
        <w:t xml:space="preserve">pensiju </w:t>
      </w:r>
      <w:r w:rsidR="000B2FAE">
        <w:t xml:space="preserve">lielums </w:t>
      </w:r>
      <w:r w:rsidR="00C46011">
        <w:t>– 2022. gadā vīriešiem izmaksātās vecuma pensijas apmērs bija par 11.3% lielāks nekā sievietēm.</w:t>
      </w:r>
      <w:r w:rsidR="00E823A6">
        <w:rPr>
          <w:rStyle w:val="FootnoteReference"/>
        </w:rPr>
        <w:footnoteReference w:id="15"/>
      </w:r>
      <w:r w:rsidR="00E823A6">
        <w:t xml:space="preserve"> Šīs atšķirības ietekmē to, ka sievietes ir vairāk pakļautas nabadzības riskam nekā vīrieši</w:t>
      </w:r>
      <w:r w:rsidR="00C17F87">
        <w:t xml:space="preserve">. </w:t>
      </w:r>
      <w:r w:rsidR="0037581E">
        <w:t>Pēc ES statistikas par iedzīvotāju ienākumiem un dzīves apstākļiem (EU-SILC) aptaujas datiem 2021. gadā nabadzības riskam bija pakļauti 25.2% sieviešu un 19.4% vīriešu.</w:t>
      </w:r>
      <w:r w:rsidR="003D4EE8">
        <w:rPr>
          <w:rStyle w:val="FootnoteReference"/>
        </w:rPr>
        <w:footnoteReference w:id="16"/>
      </w:r>
      <w:r w:rsidR="0037581E">
        <w:t xml:space="preserve"> Šo atšķirību rada arī tas, ka starp vecāka gadagājuma (65+ gadu vecuma) iedzīvotājiem ir ievērojami vairāk sieviešu nekā vīriešu. Tas nozīmē, ka sievietes dzīvo ilgāk un viņas ir vairāk atkarīgas no piešķirtās vecuma pensijas, kas ir zem</w:t>
      </w:r>
      <w:r w:rsidR="0029342C">
        <w:t xml:space="preserve">āka gan par viņu iepriekš saņemto darba samaksu, gan par vīriešiem piešķirtajām vecuma pensijām. Sasniedzot 65 gadu vecumu, nabadzības riskam pakļauto sieviešu īpatsvars ir ievērojami augstāks </w:t>
      </w:r>
      <w:r w:rsidR="003D4EE8">
        <w:t>–</w:t>
      </w:r>
      <w:r w:rsidR="0029342C">
        <w:t xml:space="preserve"> </w:t>
      </w:r>
      <w:r w:rsidR="003D4EE8">
        <w:t>45.6 %, kas nozīmē, ka Latvijā vecuma grupā 65+ gandrīz katra otrā sieviete ir pakļauta nabadzības riskam.</w:t>
      </w:r>
    </w:p>
    <w:p w14:paraId="13E909EF" w14:textId="77777777" w:rsidR="00374060" w:rsidRDefault="00EF77BD" w:rsidP="00DC72BB">
      <w:pPr>
        <w:spacing w:before="120" w:after="120" w:line="264" w:lineRule="auto"/>
        <w:jc w:val="both"/>
        <w:rPr>
          <w:rFonts w:cstheme="minorHAnsi"/>
          <w:shd w:val="clear" w:color="auto" w:fill="FFFFFF"/>
        </w:rPr>
      </w:pPr>
      <w:r>
        <w:t xml:space="preserve">Būtiska loma nevienlīdzības mazināšanai darba tirgū ir darba un privātās dzīves saskaņošanas iespējām, </w:t>
      </w:r>
      <w:r w:rsidR="00473B7F">
        <w:t xml:space="preserve">kas ietver gan sabiedrības izglītošanu par šiem jautājumiem, gan </w:t>
      </w:r>
      <w:r>
        <w:t>veidojot iekļaujošu darba vidi</w:t>
      </w:r>
      <w:r w:rsidR="00ED09F3">
        <w:t xml:space="preserve"> un veicinot darba devēju izpratni</w:t>
      </w:r>
      <w:r w:rsidR="00473B7F">
        <w:t xml:space="preserve"> par š</w:t>
      </w:r>
      <w:r w:rsidR="001467C7">
        <w:t>iem jautājumiem</w:t>
      </w:r>
      <w:r w:rsidR="00473B7F">
        <w:t>. Latvijā joprojām ir vērojama</w:t>
      </w:r>
      <w:r w:rsidR="003D1036">
        <w:t xml:space="preserve"> būtiska atšķirība starp sievietēm un vīriešiem mājas darbu un bērnu aprūpes jomā, kas var likt šķēršļus sieviešu pilnvērtīgai iesaistei darba tirgū, kā arī darba un privātās dzīves saskaņošanas iespējām.</w:t>
      </w:r>
      <w:r w:rsidR="00F2270F">
        <w:t xml:space="preserve"> Kā liecina Eiropas Dzimumu līdztiesības indeksa dati, Latvijā laika posmā no 2016. gada līdz 2022. gadam ir vērojama </w:t>
      </w:r>
      <w:r w:rsidR="00F2270F">
        <w:lastRenderedPageBreak/>
        <w:t>pieaugoša dzimumu nevienlīdzība aprūpes un mājas darbu iesaistē starp vīriešiem un sievietēm. Piemēram, 73% sieviešu Latvija vecumā no 18 līdz 74 gadiem norāda, ka veic mājas darbus un gatavo ēst katru dienu, vienlaikus šīs pašas aktivitātes katru dienu veic tikai 35% vīriešu.</w:t>
      </w:r>
      <w:r w:rsidR="003D5C08">
        <w:rPr>
          <w:rStyle w:val="FootnoteReference"/>
        </w:rPr>
        <w:footnoteReference w:id="17"/>
      </w:r>
      <w:r w:rsidR="00F2270F">
        <w:t xml:space="preserve"> Arī bērnu aprūpē vīrieši Latvijā </w:t>
      </w:r>
      <w:r w:rsidR="003D5C08">
        <w:t>iesaistās mazāk aktīvi nekā sievietes – tā, piemēram, 2022. gadā 84.1% pabalsta bērna kopšanai līdz 1.5 un no 1.5 līdz 2 gadu vecumam saņēmēju bija sievietes un tikai 15.9% bija vīriešu.</w:t>
      </w:r>
      <w:r w:rsidR="007F102A">
        <w:rPr>
          <w:rStyle w:val="FootnoteReference"/>
        </w:rPr>
        <w:footnoteReference w:id="18"/>
      </w:r>
      <w:r w:rsidR="00AB028D">
        <w:t xml:space="preserve"> </w:t>
      </w:r>
      <w:r w:rsidR="00296B8E">
        <w:t xml:space="preserve"> Tāpat izteiktas dzimumu atšķirības ir vērojamas </w:t>
      </w:r>
      <w:r w:rsidR="0084744D">
        <w:t>personu vidū, kas ir ieceltas par aizgādni personām ar garīga rakstura vai citiem veselības traucējumiem</w:t>
      </w:r>
      <w:r w:rsidR="000C23A2">
        <w:t xml:space="preserve"> – 2022. gada beigās 83.3% no aizgādņiem bija sievietes un 16.7% bija vīrieši.</w:t>
      </w:r>
      <w:r w:rsidR="00F74649">
        <w:rPr>
          <w:rStyle w:val="FootnoteReference"/>
        </w:rPr>
        <w:footnoteReference w:id="19"/>
      </w:r>
      <w:r w:rsidR="006B45E0">
        <w:t xml:space="preserve"> </w:t>
      </w:r>
      <w:r w:rsidR="00AB028D">
        <w:t>Ilgstošs bērna kopšanas atvaļinājums un biež</w:t>
      </w:r>
      <w:r w:rsidR="00ED7829">
        <w:t>i pārtraukumi darba tirgū, lai veiktu neapmaksātu aprūpes darbu,</w:t>
      </w:r>
      <w:r w:rsidR="00D02E9B">
        <w:t xml:space="preserve"> var radīt izaicinājumus konkurēt darba tirgū un sevi pilnveidot profesionāli</w:t>
      </w:r>
      <w:r w:rsidR="00ED7829">
        <w:t xml:space="preserve">, kā arī veicināt </w:t>
      </w:r>
      <w:r w:rsidR="00296B8E">
        <w:t xml:space="preserve">jau pastāvošās </w:t>
      </w:r>
      <w:r w:rsidR="00ED7829">
        <w:t>darba samaksas un pensiju atšķirības starp vīriešiem un sievietēm</w:t>
      </w:r>
      <w:r w:rsidR="006B45E0">
        <w:t xml:space="preserve">, tādēļ ir būtiski veicināt vīriešu iesaisti neapmaksāto aprūpes pienākumu veikšanā, </w:t>
      </w:r>
      <w:r w:rsidR="006A68B6">
        <w:t xml:space="preserve">nodrošināt </w:t>
      </w:r>
      <w:r w:rsidR="0069457D">
        <w:t xml:space="preserve">bērnu </w:t>
      </w:r>
      <w:r w:rsidR="006A68B6">
        <w:t>aprūpes pakalpojumu</w:t>
      </w:r>
      <w:r w:rsidR="0069457D">
        <w:t xml:space="preserve"> pieejamību</w:t>
      </w:r>
      <w:r w:rsidR="006A68B6">
        <w:t>, kā arī izglītot darba devējus par dažādiem pasākumiem darba ņēmēju darba un privātās dzīves saskaņošanai.</w:t>
      </w:r>
      <w:r w:rsidR="007E1E7E">
        <w:t xml:space="preserve"> </w:t>
      </w:r>
      <w:r w:rsidR="00DF15E8">
        <w:t xml:space="preserve"> </w:t>
      </w:r>
      <w:r w:rsidR="00DF15E8" w:rsidRPr="00216C12">
        <w:rPr>
          <w:rFonts w:cstheme="minorHAnsi"/>
        </w:rPr>
        <w:t xml:space="preserve">Lai uzlabotu </w:t>
      </w:r>
      <w:r w:rsidR="006B5A11" w:rsidRPr="00216C12">
        <w:rPr>
          <w:rFonts w:cstheme="minorHAnsi"/>
        </w:rPr>
        <w:t>b</w:t>
      </w:r>
      <w:r w:rsidR="00DF15E8" w:rsidRPr="00D96BB9">
        <w:rPr>
          <w:rFonts w:cstheme="minorHAnsi"/>
        </w:rPr>
        <w:t>ērnu aprūpes pakalpojumu</w:t>
      </w:r>
      <w:r w:rsidR="00DF15E8" w:rsidRPr="004D2155">
        <w:rPr>
          <w:rFonts w:cstheme="minorHAnsi"/>
        </w:rPr>
        <w:t xml:space="preserve"> </w:t>
      </w:r>
      <w:r w:rsidR="006B5A11" w:rsidRPr="004D2155">
        <w:rPr>
          <w:rFonts w:cstheme="minorHAnsi"/>
        </w:rPr>
        <w:t>pieejamību, ar Eiropas Savienības struktūrfondu atbalstu līdz 202</w:t>
      </w:r>
      <w:r w:rsidR="00920E2A" w:rsidRPr="004D2155">
        <w:rPr>
          <w:rFonts w:cstheme="minorHAnsi"/>
        </w:rPr>
        <w:t>9.</w:t>
      </w:r>
      <w:r w:rsidR="00374060">
        <w:rPr>
          <w:rFonts w:cstheme="minorHAnsi"/>
        </w:rPr>
        <w:t xml:space="preserve"> </w:t>
      </w:r>
      <w:r w:rsidR="00920E2A" w:rsidRPr="004D2155">
        <w:rPr>
          <w:rFonts w:cstheme="minorHAnsi"/>
        </w:rPr>
        <w:t>gada 31</w:t>
      </w:r>
      <w:r w:rsidR="00374060">
        <w:rPr>
          <w:rFonts w:cstheme="minorHAnsi"/>
        </w:rPr>
        <w:t xml:space="preserve"> </w:t>
      </w:r>
      <w:r w:rsidR="00920E2A" w:rsidRPr="004D2155">
        <w:rPr>
          <w:rFonts w:cstheme="minorHAnsi"/>
        </w:rPr>
        <w:t>.decembri</w:t>
      </w:r>
      <w:r w:rsidR="00920E2A" w:rsidRPr="00A25874">
        <w:rPr>
          <w:rFonts w:cstheme="minorHAnsi"/>
        </w:rPr>
        <w:t xml:space="preserve">m </w:t>
      </w:r>
      <w:r w:rsidR="006B5A11" w:rsidRPr="004A5902">
        <w:rPr>
          <w:rFonts w:cstheme="minorHAnsi"/>
          <w:shd w:val="clear" w:color="auto" w:fill="FFFFFF"/>
        </w:rPr>
        <w:t xml:space="preserve">pašvaldībām </w:t>
      </w:r>
      <w:r w:rsidR="00920E2A" w:rsidRPr="004A5902">
        <w:rPr>
          <w:rFonts w:cstheme="minorHAnsi"/>
          <w:shd w:val="clear" w:color="auto" w:fill="FFFFFF"/>
        </w:rPr>
        <w:t xml:space="preserve">būs iespēja nodrošināt </w:t>
      </w:r>
      <w:r w:rsidR="006B5A11" w:rsidRPr="004A5902">
        <w:rPr>
          <w:rFonts w:cstheme="minorHAnsi"/>
          <w:shd w:val="clear" w:color="auto" w:fill="FFFFFF"/>
        </w:rPr>
        <w:t>pirmsskolas izglītības pakalpojum</w:t>
      </w:r>
      <w:r w:rsidR="00920E2A" w:rsidRPr="004A5902">
        <w:rPr>
          <w:rFonts w:cstheme="minorHAnsi"/>
          <w:shd w:val="clear" w:color="auto" w:fill="FFFFFF"/>
        </w:rPr>
        <w:t xml:space="preserve">u </w:t>
      </w:r>
      <w:r w:rsidR="006B5A11" w:rsidRPr="004A5902">
        <w:rPr>
          <w:rFonts w:cstheme="minorHAnsi"/>
          <w:shd w:val="clear" w:color="auto" w:fill="FFFFFF"/>
        </w:rPr>
        <w:t>un bērnu uzraudzības pakalpojum</w:t>
      </w:r>
      <w:r w:rsidR="00920E2A" w:rsidRPr="004A5902">
        <w:rPr>
          <w:rFonts w:cstheme="minorHAnsi"/>
          <w:shd w:val="clear" w:color="auto" w:fill="FFFFFF"/>
        </w:rPr>
        <w:t>u, k</w:t>
      </w:r>
      <w:r w:rsidR="0010459A" w:rsidRPr="004A5902">
        <w:rPr>
          <w:rFonts w:cstheme="minorHAnsi"/>
          <w:shd w:val="clear" w:color="auto" w:fill="FFFFFF"/>
        </w:rPr>
        <w:t>o piedāvā privātais pakalpojuma sniedzējs</w:t>
      </w:r>
      <w:r w:rsidR="00216C12" w:rsidRPr="004A5902">
        <w:rPr>
          <w:rStyle w:val="FootnoteReference"/>
          <w:rFonts w:cstheme="minorHAnsi"/>
          <w:shd w:val="clear" w:color="auto" w:fill="FFFFFF"/>
        </w:rPr>
        <w:footnoteReference w:id="20"/>
      </w:r>
      <w:r w:rsidR="0010459A" w:rsidRPr="004A5902">
        <w:rPr>
          <w:rFonts w:cstheme="minorHAnsi"/>
          <w:shd w:val="clear" w:color="auto" w:fill="FFFFFF"/>
        </w:rPr>
        <w:t xml:space="preserve">. </w:t>
      </w:r>
      <w:r w:rsidR="00A022FF" w:rsidRPr="004A5902">
        <w:rPr>
          <w:rFonts w:cstheme="minorHAnsi"/>
          <w:shd w:val="clear" w:color="auto" w:fill="FFFFFF"/>
        </w:rPr>
        <w:t>Šāda atbalsta nodrošināšana, veicinās gan darba un privātās dzīves veiksmīgāku saskaņošanu, kā arī sekmēs vecāku (likumisko pārstāvju), īpaši sieviešu, aktīv</w:t>
      </w:r>
      <w:r w:rsidR="00216C12" w:rsidRPr="004A5902">
        <w:rPr>
          <w:rFonts w:cstheme="minorHAnsi"/>
          <w:shd w:val="clear" w:color="auto" w:fill="FFFFFF"/>
        </w:rPr>
        <w:t>āku</w:t>
      </w:r>
      <w:r w:rsidR="00A022FF" w:rsidRPr="004A5902">
        <w:rPr>
          <w:rFonts w:cstheme="minorHAnsi"/>
          <w:shd w:val="clear" w:color="auto" w:fill="FFFFFF"/>
        </w:rPr>
        <w:t xml:space="preserve"> atgriešanos darba tirgū.</w:t>
      </w:r>
      <w:r w:rsidR="00C0508F">
        <w:rPr>
          <w:rFonts w:cstheme="minorHAnsi"/>
          <w:shd w:val="clear" w:color="auto" w:fill="FFFFFF"/>
        </w:rPr>
        <w:t xml:space="preserve"> </w:t>
      </w:r>
    </w:p>
    <w:p w14:paraId="5E070659" w14:textId="237D2B0B" w:rsidR="003E0ED2" w:rsidRDefault="00CC50A6" w:rsidP="00DC72BB">
      <w:pPr>
        <w:spacing w:before="120" w:after="120" w:line="264" w:lineRule="auto"/>
        <w:jc w:val="both"/>
      </w:pPr>
      <w:r>
        <w:t xml:space="preserve">Vienlīdzīgu iespēju darba tirgū un izglītības kontekstā ir nepieciešams domāt arī par </w:t>
      </w:r>
      <w:r w:rsidR="00864B14">
        <w:t xml:space="preserve">savstarpēji ietekmējošu faktoru </w:t>
      </w:r>
      <w:r w:rsidR="00261A10">
        <w:t>vērā ņemošu</w:t>
      </w:r>
      <w:r w:rsidR="00864B14">
        <w:t xml:space="preserve"> </w:t>
      </w:r>
      <w:r>
        <w:t>pieeju</w:t>
      </w:r>
      <w:r w:rsidR="00261A10">
        <w:t xml:space="preserve"> (</w:t>
      </w:r>
      <w:r w:rsidR="00261A10" w:rsidRPr="00D647ED">
        <w:rPr>
          <w:i/>
          <w:iCs/>
        </w:rPr>
        <w:t>angliski – intersectionality</w:t>
      </w:r>
      <w:r w:rsidR="00261A10">
        <w:t>)</w:t>
      </w:r>
      <w:r>
        <w:t xml:space="preserve">, </w:t>
      </w:r>
      <w:r w:rsidR="005278E5">
        <w:t>piedāvājot risinājumus īpaši neaizsargātām personām, kas var saskarties ar vairākiem diskriminācijas riski</w:t>
      </w:r>
      <w:r w:rsidR="00B76044">
        <w:t>em, kas balstīti personas dzimumā, rasē vai etniskajā piederībā, vecumā, sociālajā statusā vai invaliditātē.</w:t>
      </w:r>
      <w:r w:rsidR="00D75E3F">
        <w:t xml:space="preserve"> </w:t>
      </w:r>
      <w:r w:rsidR="007A5BEC">
        <w:t>Viena no šādām grupās ir romu kopienas sievietes.</w:t>
      </w:r>
      <w:r w:rsidR="00FF5759">
        <w:t xml:space="preserve"> 2</w:t>
      </w:r>
      <w:r w:rsidR="00F42696">
        <w:t>023. gada veiktajā “Civitta Latvija” pētījumā “Par romu situāciju Latvijā”</w:t>
      </w:r>
      <w:r w:rsidR="009F6595">
        <w:rPr>
          <w:rStyle w:val="FootnoteReference"/>
        </w:rPr>
        <w:footnoteReference w:id="21"/>
      </w:r>
      <w:r w:rsidR="00E92C2F">
        <w:t xml:space="preserve"> tiek norādīts, ka romi tiek iekļauti sociālās atstumtības riskam pakļauto iedzīvotāju grupā. Tieši romu tautības pārstāvju vidū lielākā daļa ir ilgstošie bezdarbnieki salīdzinājumā ar visu iedzīvotāju īpatsvaru Latvijā.</w:t>
      </w:r>
      <w:r w:rsidR="003D38F4">
        <w:t xml:space="preserve"> Tāpa</w:t>
      </w:r>
      <w:r w:rsidR="003F2B2C">
        <w:t>t šīs kopienas pārstāvji saskaras ar diskrimināciju darba attiecībās, kas ir saistīta ar plaši izplatītiem stereotipiem par romiem Latvijas sabiedrībā.</w:t>
      </w:r>
      <w:r w:rsidR="00BB3CB5">
        <w:t xml:space="preserve"> </w:t>
      </w:r>
      <w:r w:rsidR="008A0C97">
        <w:t>Šajā kontekstā ir nepieciešams realizēt pasākumus romu sieviešu kapacitātes stiprināšanai, veicinot romu sieviešu līdzdalības iespējas dažādās dzīves jomās.</w:t>
      </w:r>
    </w:p>
    <w:p w14:paraId="79A5289E" w14:textId="5CBFF827" w:rsidR="00EA67CC" w:rsidRDefault="00EA67CC" w:rsidP="00DC72BB">
      <w:pPr>
        <w:spacing w:before="120" w:after="120" w:line="264" w:lineRule="auto"/>
        <w:jc w:val="both"/>
      </w:pPr>
    </w:p>
    <w:p w14:paraId="4B9FCD4E" w14:textId="77777777" w:rsidR="006076CD" w:rsidRDefault="006076CD" w:rsidP="00DC72BB">
      <w:pPr>
        <w:spacing w:before="120" w:after="120" w:line="264" w:lineRule="auto"/>
        <w:jc w:val="both"/>
      </w:pPr>
    </w:p>
    <w:tbl>
      <w:tblPr>
        <w:tblStyle w:val="TableGrid"/>
        <w:tblW w:w="0" w:type="auto"/>
        <w:tblLook w:val="04A0" w:firstRow="1" w:lastRow="0" w:firstColumn="1" w:lastColumn="0" w:noHBand="0" w:noVBand="1"/>
      </w:tblPr>
      <w:tblGrid>
        <w:gridCol w:w="843"/>
        <w:gridCol w:w="2129"/>
        <w:gridCol w:w="2552"/>
        <w:gridCol w:w="2693"/>
        <w:gridCol w:w="1417"/>
        <w:gridCol w:w="1560"/>
        <w:gridCol w:w="2126"/>
      </w:tblGrid>
      <w:tr w:rsidR="00FD6DE7" w:rsidRPr="00BF5500" w14:paraId="25880CBF" w14:textId="77777777" w:rsidTr="004A5902">
        <w:tc>
          <w:tcPr>
            <w:tcW w:w="843" w:type="dxa"/>
            <w:shd w:val="clear" w:color="auto" w:fill="E2EFD9" w:themeFill="accent6" w:themeFillTint="33"/>
          </w:tcPr>
          <w:p w14:paraId="08E61018" w14:textId="77777777" w:rsidR="00BF5500" w:rsidRPr="00BF5500" w:rsidRDefault="00BF5500" w:rsidP="00BF5500">
            <w:pPr>
              <w:spacing w:before="100" w:beforeAutospacing="1" w:after="100" w:afterAutospacing="1"/>
              <w:rPr>
                <w:sz w:val="22"/>
                <w:szCs w:val="22"/>
              </w:rPr>
            </w:pPr>
            <w:r w:rsidRPr="00BF5500">
              <w:rPr>
                <w:sz w:val="22"/>
                <w:szCs w:val="22"/>
              </w:rPr>
              <w:lastRenderedPageBreak/>
              <w:t xml:space="preserve">Nr. p. k. </w:t>
            </w:r>
          </w:p>
        </w:tc>
        <w:tc>
          <w:tcPr>
            <w:tcW w:w="2129" w:type="dxa"/>
            <w:shd w:val="clear" w:color="auto" w:fill="E2EFD9" w:themeFill="accent6" w:themeFillTint="33"/>
          </w:tcPr>
          <w:p w14:paraId="7D0416CC" w14:textId="77777777" w:rsidR="00BF5500" w:rsidRPr="00BF5500" w:rsidRDefault="00BF5500" w:rsidP="00BF5500">
            <w:pPr>
              <w:spacing w:before="100" w:beforeAutospacing="1" w:after="100" w:afterAutospacing="1"/>
              <w:rPr>
                <w:sz w:val="22"/>
                <w:szCs w:val="22"/>
              </w:rPr>
            </w:pPr>
            <w:r w:rsidRPr="00BF5500">
              <w:rPr>
                <w:sz w:val="22"/>
                <w:szCs w:val="22"/>
              </w:rPr>
              <w:t>Pasākums</w:t>
            </w:r>
          </w:p>
        </w:tc>
        <w:tc>
          <w:tcPr>
            <w:tcW w:w="2552" w:type="dxa"/>
            <w:shd w:val="clear" w:color="auto" w:fill="E2EFD9" w:themeFill="accent6" w:themeFillTint="33"/>
          </w:tcPr>
          <w:p w14:paraId="20EB8526" w14:textId="77777777" w:rsidR="00BF5500" w:rsidRPr="00BF5500" w:rsidRDefault="00BF5500" w:rsidP="00BF5500">
            <w:pPr>
              <w:spacing w:before="100" w:beforeAutospacing="1" w:after="100" w:afterAutospacing="1"/>
              <w:rPr>
                <w:sz w:val="22"/>
                <w:szCs w:val="22"/>
              </w:rPr>
            </w:pPr>
            <w:r w:rsidRPr="00BF5500">
              <w:rPr>
                <w:sz w:val="22"/>
                <w:szCs w:val="22"/>
              </w:rPr>
              <w:t>Darbības rezultāts</w:t>
            </w:r>
          </w:p>
        </w:tc>
        <w:tc>
          <w:tcPr>
            <w:tcW w:w="2693" w:type="dxa"/>
            <w:shd w:val="clear" w:color="auto" w:fill="E2EFD9" w:themeFill="accent6" w:themeFillTint="33"/>
          </w:tcPr>
          <w:p w14:paraId="065FD228" w14:textId="77777777" w:rsidR="00BF5500" w:rsidRPr="00BF5500" w:rsidRDefault="00BF5500" w:rsidP="00BF5500">
            <w:pPr>
              <w:spacing w:before="100" w:beforeAutospacing="1" w:after="100" w:afterAutospacing="1"/>
              <w:rPr>
                <w:sz w:val="22"/>
                <w:szCs w:val="22"/>
              </w:rPr>
            </w:pPr>
            <w:r w:rsidRPr="00BF5500">
              <w:rPr>
                <w:sz w:val="22"/>
                <w:szCs w:val="22"/>
              </w:rPr>
              <w:t>Rezultatīvais rādītājs</w:t>
            </w:r>
          </w:p>
        </w:tc>
        <w:tc>
          <w:tcPr>
            <w:tcW w:w="1417" w:type="dxa"/>
            <w:shd w:val="clear" w:color="auto" w:fill="E2EFD9" w:themeFill="accent6" w:themeFillTint="33"/>
          </w:tcPr>
          <w:p w14:paraId="250E09B9" w14:textId="77777777" w:rsidR="00BF5500" w:rsidRPr="00BF5500" w:rsidRDefault="00BF5500" w:rsidP="00BF5500">
            <w:pPr>
              <w:spacing w:before="100" w:beforeAutospacing="1" w:after="100" w:afterAutospacing="1"/>
              <w:jc w:val="center"/>
              <w:rPr>
                <w:sz w:val="22"/>
                <w:szCs w:val="22"/>
              </w:rPr>
            </w:pPr>
            <w:r w:rsidRPr="00BF5500">
              <w:rPr>
                <w:sz w:val="22"/>
                <w:szCs w:val="22"/>
              </w:rPr>
              <w:t>Atbildīgā institūcija</w:t>
            </w:r>
          </w:p>
        </w:tc>
        <w:tc>
          <w:tcPr>
            <w:tcW w:w="1560" w:type="dxa"/>
            <w:shd w:val="clear" w:color="auto" w:fill="E2EFD9" w:themeFill="accent6" w:themeFillTint="33"/>
          </w:tcPr>
          <w:p w14:paraId="2697B2BC" w14:textId="77777777" w:rsidR="00BF5500" w:rsidRPr="00BF5500" w:rsidRDefault="00BF5500" w:rsidP="00BF5500">
            <w:pPr>
              <w:spacing w:before="100" w:beforeAutospacing="1" w:after="100" w:afterAutospacing="1"/>
              <w:rPr>
                <w:sz w:val="22"/>
                <w:szCs w:val="22"/>
              </w:rPr>
            </w:pPr>
            <w:r w:rsidRPr="00BF5500">
              <w:rPr>
                <w:sz w:val="22"/>
                <w:szCs w:val="22"/>
              </w:rPr>
              <w:t>Iesaistītās institūcijas</w:t>
            </w:r>
          </w:p>
        </w:tc>
        <w:tc>
          <w:tcPr>
            <w:tcW w:w="2126" w:type="dxa"/>
            <w:shd w:val="clear" w:color="auto" w:fill="E2EFD9" w:themeFill="accent6" w:themeFillTint="33"/>
          </w:tcPr>
          <w:p w14:paraId="24B09670" w14:textId="77777777" w:rsidR="00BF5500" w:rsidRPr="00BF5500" w:rsidRDefault="00BF5500" w:rsidP="00BF5500">
            <w:pPr>
              <w:spacing w:before="100" w:beforeAutospacing="1" w:after="100" w:afterAutospacing="1"/>
              <w:rPr>
                <w:sz w:val="22"/>
                <w:szCs w:val="22"/>
              </w:rPr>
            </w:pPr>
            <w:r w:rsidRPr="00BF5500">
              <w:rPr>
                <w:sz w:val="22"/>
                <w:szCs w:val="22"/>
              </w:rPr>
              <w:t>Īstenošanas termiņš</w:t>
            </w:r>
          </w:p>
        </w:tc>
      </w:tr>
      <w:tr w:rsidR="00E3618A" w:rsidRPr="00BF5500" w14:paraId="3B424120" w14:textId="77777777" w:rsidTr="00DD0178">
        <w:trPr>
          <w:trHeight w:val="1533"/>
        </w:trPr>
        <w:tc>
          <w:tcPr>
            <w:tcW w:w="843" w:type="dxa"/>
            <w:vMerge w:val="restart"/>
          </w:tcPr>
          <w:p w14:paraId="6F5DCEDB" w14:textId="77777777" w:rsidR="00E3618A" w:rsidRPr="00BF5500" w:rsidRDefault="00E3618A" w:rsidP="00BF5500">
            <w:pPr>
              <w:spacing w:before="100" w:beforeAutospacing="1" w:after="100" w:afterAutospacing="1"/>
              <w:rPr>
                <w:sz w:val="22"/>
                <w:szCs w:val="22"/>
              </w:rPr>
            </w:pPr>
            <w:r w:rsidRPr="00BF5500">
              <w:rPr>
                <w:sz w:val="22"/>
                <w:szCs w:val="22"/>
              </w:rPr>
              <w:t>1.</w:t>
            </w:r>
          </w:p>
        </w:tc>
        <w:tc>
          <w:tcPr>
            <w:tcW w:w="2129" w:type="dxa"/>
            <w:vMerge w:val="restart"/>
          </w:tcPr>
          <w:p w14:paraId="7CD58EBB" w14:textId="4F1F7DC6" w:rsidR="00E3618A" w:rsidRPr="00BF5500" w:rsidRDefault="00E3618A" w:rsidP="00E03CF3">
            <w:pPr>
              <w:spacing w:before="100" w:beforeAutospacing="1" w:after="100" w:afterAutospacing="1"/>
              <w:jc w:val="both"/>
              <w:rPr>
                <w:sz w:val="22"/>
                <w:szCs w:val="22"/>
              </w:rPr>
            </w:pPr>
            <w:r w:rsidRPr="00BF5500">
              <w:rPr>
                <w:sz w:val="22"/>
                <w:szCs w:val="22"/>
              </w:rPr>
              <w:t xml:space="preserve">Atšķirīgas attieksmes risku </w:t>
            </w:r>
            <w:r w:rsidR="00B905B2">
              <w:rPr>
                <w:sz w:val="22"/>
                <w:szCs w:val="22"/>
              </w:rPr>
              <w:t>dzimuma dēļ</w:t>
            </w:r>
            <w:r w:rsidRPr="00BF5500">
              <w:rPr>
                <w:sz w:val="22"/>
                <w:szCs w:val="22"/>
              </w:rPr>
              <w:t xml:space="preserve"> mazināšana darba tirgū.</w:t>
            </w:r>
          </w:p>
        </w:tc>
        <w:tc>
          <w:tcPr>
            <w:tcW w:w="2552" w:type="dxa"/>
            <w:vMerge w:val="restart"/>
          </w:tcPr>
          <w:p w14:paraId="27D1A0C9" w14:textId="6F65A925" w:rsidR="00E3618A" w:rsidRPr="00BF5500" w:rsidRDefault="00E3618A" w:rsidP="00E03CF3">
            <w:pPr>
              <w:spacing w:before="100" w:beforeAutospacing="1" w:after="100" w:afterAutospacing="1"/>
              <w:jc w:val="both"/>
              <w:rPr>
                <w:rFonts w:cstheme="minorHAnsi"/>
                <w:sz w:val="22"/>
                <w:szCs w:val="22"/>
              </w:rPr>
            </w:pPr>
            <w:r w:rsidRPr="00BF5500">
              <w:rPr>
                <w:rFonts w:cstheme="minorHAnsi"/>
                <w:sz w:val="22"/>
                <w:szCs w:val="22"/>
              </w:rPr>
              <w:t xml:space="preserve">1.1. </w:t>
            </w:r>
            <w:r w:rsidR="00B905B2">
              <w:rPr>
                <w:rFonts w:cstheme="minorHAnsi"/>
                <w:sz w:val="22"/>
                <w:szCs w:val="22"/>
              </w:rPr>
              <w:t>Pilnveidotas darba devēju zināšanas</w:t>
            </w:r>
            <w:r w:rsidR="00E03CF3">
              <w:rPr>
                <w:rFonts w:cstheme="minorHAnsi"/>
                <w:sz w:val="22"/>
                <w:szCs w:val="22"/>
              </w:rPr>
              <w:t>, lai veidotu iekļaujošu darba vidi, kas ņem vērā sieviešu un vīriešu vajadzības</w:t>
            </w:r>
          </w:p>
        </w:tc>
        <w:tc>
          <w:tcPr>
            <w:tcW w:w="2693" w:type="dxa"/>
          </w:tcPr>
          <w:p w14:paraId="3011F472" w14:textId="77777777" w:rsidR="00E3618A" w:rsidRPr="00BF5500" w:rsidRDefault="00E3618A" w:rsidP="00E03CF3">
            <w:pPr>
              <w:spacing w:before="100" w:beforeAutospacing="1" w:after="100" w:afterAutospacing="1"/>
              <w:jc w:val="both"/>
              <w:rPr>
                <w:sz w:val="22"/>
                <w:szCs w:val="22"/>
              </w:rPr>
            </w:pPr>
            <w:r w:rsidRPr="00BF5500">
              <w:rPr>
                <w:b/>
                <w:bCs/>
                <w:sz w:val="22"/>
                <w:szCs w:val="22"/>
              </w:rPr>
              <w:t>Metodiskais materiāls</w:t>
            </w:r>
            <w:r w:rsidRPr="00BF5500">
              <w:rPr>
                <w:sz w:val="22"/>
                <w:szCs w:val="22"/>
              </w:rPr>
              <w:t xml:space="preserve"> darba devējiem par iekļaujošas darba vides un diskriminācijas novēršanas jautājumiem</w:t>
            </w:r>
            <w:r w:rsidRPr="00BF5500">
              <w:rPr>
                <w:sz w:val="22"/>
                <w:szCs w:val="22"/>
                <w:vertAlign w:val="superscript"/>
              </w:rPr>
              <w:footnoteReference w:id="22"/>
            </w:r>
          </w:p>
        </w:tc>
        <w:tc>
          <w:tcPr>
            <w:tcW w:w="1417" w:type="dxa"/>
          </w:tcPr>
          <w:p w14:paraId="3BDB8072" w14:textId="77777777" w:rsidR="00E3618A" w:rsidRPr="00BF5500" w:rsidRDefault="00E3618A" w:rsidP="00BF5500">
            <w:pPr>
              <w:spacing w:before="100" w:beforeAutospacing="1" w:after="100" w:afterAutospacing="1"/>
              <w:rPr>
                <w:sz w:val="22"/>
                <w:szCs w:val="22"/>
              </w:rPr>
            </w:pPr>
            <w:r w:rsidRPr="00BF5500">
              <w:rPr>
                <w:sz w:val="22"/>
                <w:szCs w:val="22"/>
              </w:rPr>
              <w:t>LM</w:t>
            </w:r>
          </w:p>
        </w:tc>
        <w:tc>
          <w:tcPr>
            <w:tcW w:w="1560" w:type="dxa"/>
          </w:tcPr>
          <w:p w14:paraId="6EDB76BE" w14:textId="77777777" w:rsidR="00E3618A" w:rsidRPr="00BF5500" w:rsidRDefault="00E3618A" w:rsidP="00BF5500">
            <w:pPr>
              <w:spacing w:before="100" w:beforeAutospacing="1" w:after="100" w:afterAutospacing="1"/>
              <w:rPr>
                <w:sz w:val="22"/>
                <w:szCs w:val="22"/>
              </w:rPr>
            </w:pPr>
          </w:p>
        </w:tc>
        <w:tc>
          <w:tcPr>
            <w:tcW w:w="2126" w:type="dxa"/>
          </w:tcPr>
          <w:p w14:paraId="7467555A" w14:textId="77777777" w:rsidR="00E3618A" w:rsidRPr="00BF5500" w:rsidRDefault="00E3618A" w:rsidP="00BF5500">
            <w:pPr>
              <w:spacing w:before="100" w:beforeAutospacing="1" w:after="100" w:afterAutospacing="1"/>
              <w:rPr>
                <w:sz w:val="22"/>
                <w:szCs w:val="22"/>
              </w:rPr>
            </w:pPr>
            <w:r w:rsidRPr="00BF5500">
              <w:rPr>
                <w:sz w:val="22"/>
                <w:szCs w:val="22"/>
              </w:rPr>
              <w:t>2027. gada 4. ceturksnis</w:t>
            </w:r>
          </w:p>
        </w:tc>
      </w:tr>
      <w:tr w:rsidR="00E3618A" w:rsidRPr="00BF5500" w14:paraId="72B25864" w14:textId="77777777" w:rsidTr="00DD0178">
        <w:trPr>
          <w:trHeight w:val="1532"/>
        </w:trPr>
        <w:tc>
          <w:tcPr>
            <w:tcW w:w="843" w:type="dxa"/>
            <w:vMerge/>
          </w:tcPr>
          <w:p w14:paraId="0501B8D5" w14:textId="77777777" w:rsidR="00E3618A" w:rsidRPr="00BF5500" w:rsidRDefault="00E3618A" w:rsidP="00BF5500">
            <w:pPr>
              <w:spacing w:before="100" w:beforeAutospacing="1" w:after="100" w:afterAutospacing="1"/>
              <w:rPr>
                <w:sz w:val="22"/>
                <w:szCs w:val="22"/>
              </w:rPr>
            </w:pPr>
          </w:p>
        </w:tc>
        <w:tc>
          <w:tcPr>
            <w:tcW w:w="2129" w:type="dxa"/>
            <w:vMerge/>
          </w:tcPr>
          <w:p w14:paraId="2E1C69AB" w14:textId="77777777" w:rsidR="00E3618A" w:rsidRPr="00BF5500" w:rsidRDefault="00E3618A" w:rsidP="00BF5500">
            <w:pPr>
              <w:spacing w:before="100" w:beforeAutospacing="1" w:after="100" w:afterAutospacing="1"/>
              <w:rPr>
                <w:sz w:val="22"/>
                <w:szCs w:val="22"/>
              </w:rPr>
            </w:pPr>
          </w:p>
        </w:tc>
        <w:tc>
          <w:tcPr>
            <w:tcW w:w="2552" w:type="dxa"/>
            <w:vMerge/>
          </w:tcPr>
          <w:p w14:paraId="130E97FF" w14:textId="77777777" w:rsidR="00E3618A" w:rsidRPr="00BF5500" w:rsidRDefault="00E3618A" w:rsidP="00BF5500">
            <w:pPr>
              <w:spacing w:before="100" w:beforeAutospacing="1" w:after="100" w:afterAutospacing="1"/>
              <w:rPr>
                <w:rFonts w:cstheme="minorHAnsi"/>
                <w:sz w:val="22"/>
                <w:szCs w:val="22"/>
              </w:rPr>
            </w:pPr>
          </w:p>
        </w:tc>
        <w:tc>
          <w:tcPr>
            <w:tcW w:w="2693" w:type="dxa"/>
          </w:tcPr>
          <w:p w14:paraId="31E9C111" w14:textId="136CA420" w:rsidR="00E3618A" w:rsidRPr="00BF5500" w:rsidRDefault="00E3618A" w:rsidP="00E03CF3">
            <w:pPr>
              <w:spacing w:before="100" w:beforeAutospacing="1" w:after="100" w:afterAutospacing="1"/>
              <w:jc w:val="both"/>
              <w:rPr>
                <w:b/>
                <w:bCs/>
                <w:sz w:val="22"/>
                <w:szCs w:val="22"/>
              </w:rPr>
            </w:pPr>
            <w:r w:rsidRPr="00BF5500">
              <w:rPr>
                <w:b/>
                <w:bCs/>
                <w:sz w:val="22"/>
                <w:szCs w:val="22"/>
              </w:rPr>
              <w:t>izglītojoši pasākumi darba devējiem</w:t>
            </w:r>
            <w:r w:rsidRPr="00BF5500">
              <w:rPr>
                <w:sz w:val="22"/>
                <w:szCs w:val="22"/>
              </w:rPr>
              <w:t xml:space="preserve"> par sieviešu un vīriešu darba samaksas atšķirības mazināšanu uzņēmumā</w:t>
            </w:r>
            <w:r w:rsidRPr="00BF5500">
              <w:rPr>
                <w:sz w:val="22"/>
                <w:szCs w:val="22"/>
                <w:vertAlign w:val="superscript"/>
              </w:rPr>
              <w:footnoteReference w:id="23"/>
            </w:r>
          </w:p>
        </w:tc>
        <w:tc>
          <w:tcPr>
            <w:tcW w:w="1417" w:type="dxa"/>
          </w:tcPr>
          <w:p w14:paraId="6FA08230" w14:textId="7A7CC85D" w:rsidR="00E3618A" w:rsidRPr="00BF5500" w:rsidRDefault="00E3618A" w:rsidP="00BF5500">
            <w:pPr>
              <w:spacing w:before="100" w:beforeAutospacing="1" w:after="100" w:afterAutospacing="1"/>
              <w:rPr>
                <w:sz w:val="22"/>
                <w:szCs w:val="22"/>
              </w:rPr>
            </w:pPr>
            <w:r>
              <w:rPr>
                <w:sz w:val="22"/>
                <w:szCs w:val="22"/>
              </w:rPr>
              <w:t>LM</w:t>
            </w:r>
          </w:p>
        </w:tc>
        <w:tc>
          <w:tcPr>
            <w:tcW w:w="1560" w:type="dxa"/>
          </w:tcPr>
          <w:p w14:paraId="7BAF638B" w14:textId="77777777" w:rsidR="00E3618A" w:rsidRPr="00BF5500" w:rsidRDefault="00E3618A" w:rsidP="00BF5500">
            <w:pPr>
              <w:spacing w:before="100" w:beforeAutospacing="1" w:after="100" w:afterAutospacing="1"/>
              <w:rPr>
                <w:sz w:val="22"/>
                <w:szCs w:val="22"/>
              </w:rPr>
            </w:pPr>
          </w:p>
        </w:tc>
        <w:tc>
          <w:tcPr>
            <w:tcW w:w="2126" w:type="dxa"/>
          </w:tcPr>
          <w:p w14:paraId="128AD24C" w14:textId="63E0FB8C" w:rsidR="00E3618A" w:rsidRPr="00BF5500" w:rsidRDefault="00E3618A" w:rsidP="00BF5500">
            <w:pPr>
              <w:spacing w:before="100" w:beforeAutospacing="1" w:after="100" w:afterAutospacing="1"/>
              <w:rPr>
                <w:sz w:val="22"/>
                <w:szCs w:val="22"/>
              </w:rPr>
            </w:pPr>
            <w:r>
              <w:rPr>
                <w:sz w:val="22"/>
                <w:szCs w:val="22"/>
              </w:rPr>
              <w:t>2027. gada 4. ceturksnis</w:t>
            </w:r>
          </w:p>
        </w:tc>
      </w:tr>
      <w:tr w:rsidR="00E3618A" w:rsidRPr="00BF5500" w14:paraId="2F24A381" w14:textId="77777777" w:rsidTr="00DD0178">
        <w:trPr>
          <w:trHeight w:val="1348"/>
        </w:trPr>
        <w:tc>
          <w:tcPr>
            <w:tcW w:w="843" w:type="dxa"/>
            <w:vMerge/>
          </w:tcPr>
          <w:p w14:paraId="77C943F6" w14:textId="77777777" w:rsidR="00E3618A" w:rsidRPr="00BF5500" w:rsidRDefault="00E3618A" w:rsidP="00BF5500">
            <w:pPr>
              <w:spacing w:before="100" w:beforeAutospacing="1" w:after="100" w:afterAutospacing="1"/>
              <w:rPr>
                <w:sz w:val="22"/>
                <w:szCs w:val="22"/>
              </w:rPr>
            </w:pPr>
          </w:p>
        </w:tc>
        <w:tc>
          <w:tcPr>
            <w:tcW w:w="2129" w:type="dxa"/>
            <w:vMerge/>
          </w:tcPr>
          <w:p w14:paraId="7F411E50" w14:textId="77777777" w:rsidR="00E3618A" w:rsidRPr="00BF5500" w:rsidRDefault="00E3618A" w:rsidP="00BF5500">
            <w:pPr>
              <w:spacing w:before="100" w:beforeAutospacing="1" w:after="100" w:afterAutospacing="1"/>
              <w:rPr>
                <w:sz w:val="22"/>
                <w:szCs w:val="22"/>
              </w:rPr>
            </w:pPr>
          </w:p>
        </w:tc>
        <w:tc>
          <w:tcPr>
            <w:tcW w:w="2552" w:type="dxa"/>
          </w:tcPr>
          <w:p w14:paraId="0034DD46" w14:textId="5C141E4C" w:rsidR="00E3618A" w:rsidRPr="00BF5500" w:rsidRDefault="00E3618A" w:rsidP="00616628">
            <w:pPr>
              <w:spacing w:before="100" w:beforeAutospacing="1" w:after="100" w:afterAutospacing="1"/>
              <w:jc w:val="both"/>
              <w:rPr>
                <w:sz w:val="22"/>
                <w:szCs w:val="22"/>
              </w:rPr>
            </w:pPr>
            <w:r>
              <w:rPr>
                <w:sz w:val="22"/>
                <w:szCs w:val="22"/>
              </w:rPr>
              <w:t>1.2. Veicināta romu sieviešu kapacitātes stiprināšana un līdzdalības iespējas dažādās dzīves jomās un pilsoniskās sabiedrības attīstībā</w:t>
            </w:r>
          </w:p>
        </w:tc>
        <w:tc>
          <w:tcPr>
            <w:tcW w:w="2693" w:type="dxa"/>
          </w:tcPr>
          <w:p w14:paraId="19A85AD1" w14:textId="648DE453" w:rsidR="00E3618A" w:rsidRDefault="00E3618A" w:rsidP="00E03CF3">
            <w:pPr>
              <w:spacing w:before="100" w:beforeAutospacing="1" w:after="100" w:afterAutospacing="1"/>
              <w:jc w:val="both"/>
              <w:rPr>
                <w:sz w:val="22"/>
                <w:szCs w:val="22"/>
              </w:rPr>
            </w:pPr>
            <w:r>
              <w:rPr>
                <w:sz w:val="22"/>
                <w:szCs w:val="22"/>
              </w:rPr>
              <w:t xml:space="preserve">- </w:t>
            </w:r>
            <w:r w:rsidRPr="00A7201D">
              <w:rPr>
                <w:b/>
                <w:bCs/>
                <w:sz w:val="22"/>
                <w:szCs w:val="22"/>
              </w:rPr>
              <w:t>Īstenots divu dienu seminārs</w:t>
            </w:r>
            <w:r>
              <w:rPr>
                <w:sz w:val="22"/>
                <w:szCs w:val="22"/>
              </w:rPr>
              <w:t xml:space="preserve"> romu sievietēm;</w:t>
            </w:r>
          </w:p>
          <w:p w14:paraId="071983CD" w14:textId="4039414C" w:rsidR="00E3618A" w:rsidRPr="00BF5500" w:rsidRDefault="00E3618A" w:rsidP="00E03CF3">
            <w:pPr>
              <w:spacing w:before="100" w:beforeAutospacing="1" w:after="100" w:afterAutospacing="1"/>
              <w:jc w:val="both"/>
              <w:rPr>
                <w:sz w:val="22"/>
                <w:szCs w:val="22"/>
              </w:rPr>
            </w:pPr>
            <w:r>
              <w:rPr>
                <w:sz w:val="22"/>
                <w:szCs w:val="22"/>
              </w:rPr>
              <w:t xml:space="preserve">- </w:t>
            </w:r>
            <w:r w:rsidRPr="00A7201D">
              <w:rPr>
                <w:b/>
                <w:bCs/>
                <w:sz w:val="22"/>
                <w:szCs w:val="22"/>
              </w:rPr>
              <w:t>Īstenots romu sieviešu iniciatīvu konkurss</w:t>
            </w:r>
            <w:r w:rsidR="003A11A9">
              <w:rPr>
                <w:rStyle w:val="FootnoteReference"/>
                <w:sz w:val="22"/>
                <w:szCs w:val="22"/>
              </w:rPr>
              <w:footnoteReference w:id="24"/>
            </w:r>
          </w:p>
        </w:tc>
        <w:tc>
          <w:tcPr>
            <w:tcW w:w="1417" w:type="dxa"/>
          </w:tcPr>
          <w:p w14:paraId="78E1F9E1" w14:textId="2C83281B" w:rsidR="00E3618A" w:rsidRPr="00BF5500" w:rsidRDefault="00E3618A" w:rsidP="00BF5500">
            <w:pPr>
              <w:spacing w:before="100" w:beforeAutospacing="1" w:after="100" w:afterAutospacing="1"/>
              <w:rPr>
                <w:sz w:val="22"/>
                <w:szCs w:val="22"/>
              </w:rPr>
            </w:pPr>
            <w:r>
              <w:rPr>
                <w:sz w:val="22"/>
                <w:szCs w:val="22"/>
              </w:rPr>
              <w:t>KM</w:t>
            </w:r>
          </w:p>
        </w:tc>
        <w:tc>
          <w:tcPr>
            <w:tcW w:w="1560" w:type="dxa"/>
          </w:tcPr>
          <w:p w14:paraId="103C33FA" w14:textId="77777777" w:rsidR="00E3618A" w:rsidRPr="00BF5500" w:rsidRDefault="00E3618A" w:rsidP="00BF5500">
            <w:pPr>
              <w:spacing w:before="100" w:beforeAutospacing="1" w:after="100" w:afterAutospacing="1"/>
              <w:rPr>
                <w:sz w:val="22"/>
                <w:szCs w:val="22"/>
              </w:rPr>
            </w:pPr>
          </w:p>
        </w:tc>
        <w:tc>
          <w:tcPr>
            <w:tcW w:w="2126" w:type="dxa"/>
          </w:tcPr>
          <w:p w14:paraId="70A2C320" w14:textId="17A313A0" w:rsidR="00E3618A" w:rsidRPr="00BF5500" w:rsidRDefault="00E3618A" w:rsidP="00BF5500">
            <w:pPr>
              <w:spacing w:before="100" w:beforeAutospacing="1" w:after="100" w:afterAutospacing="1"/>
              <w:rPr>
                <w:sz w:val="22"/>
                <w:szCs w:val="22"/>
              </w:rPr>
            </w:pPr>
            <w:r>
              <w:rPr>
                <w:sz w:val="22"/>
                <w:szCs w:val="22"/>
              </w:rPr>
              <w:t>2025. gada 2. ceturksnis</w:t>
            </w:r>
          </w:p>
        </w:tc>
      </w:tr>
      <w:tr w:rsidR="00E3618A" w:rsidRPr="00BF5500" w14:paraId="60356B8A" w14:textId="77777777" w:rsidTr="00DD0178">
        <w:trPr>
          <w:trHeight w:val="1340"/>
        </w:trPr>
        <w:tc>
          <w:tcPr>
            <w:tcW w:w="843" w:type="dxa"/>
            <w:vMerge/>
          </w:tcPr>
          <w:p w14:paraId="54014C6F" w14:textId="77777777" w:rsidR="00E3618A" w:rsidRPr="00BF5500" w:rsidRDefault="00E3618A" w:rsidP="00BF5500">
            <w:pPr>
              <w:spacing w:before="100" w:beforeAutospacing="1" w:after="100" w:afterAutospacing="1"/>
              <w:rPr>
                <w:sz w:val="22"/>
                <w:szCs w:val="22"/>
              </w:rPr>
            </w:pPr>
          </w:p>
        </w:tc>
        <w:tc>
          <w:tcPr>
            <w:tcW w:w="2129" w:type="dxa"/>
            <w:vMerge/>
          </w:tcPr>
          <w:p w14:paraId="50DE2E0B" w14:textId="77777777" w:rsidR="00E3618A" w:rsidRPr="00BF5500" w:rsidRDefault="00E3618A" w:rsidP="00BF5500">
            <w:pPr>
              <w:spacing w:before="100" w:beforeAutospacing="1" w:after="100" w:afterAutospacing="1"/>
              <w:rPr>
                <w:sz w:val="22"/>
                <w:szCs w:val="22"/>
              </w:rPr>
            </w:pPr>
          </w:p>
        </w:tc>
        <w:tc>
          <w:tcPr>
            <w:tcW w:w="2552" w:type="dxa"/>
            <w:vMerge w:val="restart"/>
          </w:tcPr>
          <w:p w14:paraId="76992F2A" w14:textId="6545C2EC" w:rsidR="00E3618A" w:rsidRDefault="00E3618A" w:rsidP="00E03CF3">
            <w:pPr>
              <w:spacing w:before="100" w:beforeAutospacing="1" w:after="100" w:afterAutospacing="1"/>
              <w:jc w:val="both"/>
              <w:rPr>
                <w:sz w:val="22"/>
                <w:szCs w:val="22"/>
              </w:rPr>
            </w:pPr>
            <w:r>
              <w:rPr>
                <w:sz w:val="22"/>
                <w:szCs w:val="22"/>
              </w:rPr>
              <w:t>1.3. Nodrošināts atbalsts darba ņēmējiem stereotipu atpazīšanā un pārvarēšanā</w:t>
            </w:r>
          </w:p>
        </w:tc>
        <w:tc>
          <w:tcPr>
            <w:tcW w:w="2693" w:type="dxa"/>
          </w:tcPr>
          <w:p w14:paraId="6DB34FEC" w14:textId="39407754" w:rsidR="00E3618A" w:rsidRDefault="00E3618A" w:rsidP="00E03CF3">
            <w:pPr>
              <w:spacing w:before="100" w:beforeAutospacing="1" w:after="100" w:afterAutospacing="1"/>
              <w:jc w:val="both"/>
              <w:rPr>
                <w:sz w:val="22"/>
                <w:szCs w:val="22"/>
              </w:rPr>
            </w:pPr>
            <w:r w:rsidRPr="00A7201D">
              <w:rPr>
                <w:b/>
                <w:bCs/>
                <w:sz w:val="22"/>
                <w:szCs w:val="22"/>
              </w:rPr>
              <w:t xml:space="preserve">Sniegta </w:t>
            </w:r>
            <w:r w:rsidR="00463F2F" w:rsidRPr="00A7201D">
              <w:rPr>
                <w:b/>
                <w:bCs/>
                <w:sz w:val="22"/>
                <w:szCs w:val="22"/>
              </w:rPr>
              <w:t xml:space="preserve"> </w:t>
            </w:r>
            <w:r w:rsidRPr="00A7201D">
              <w:rPr>
                <w:b/>
                <w:bCs/>
                <w:sz w:val="22"/>
                <w:szCs w:val="22"/>
              </w:rPr>
              <w:t>lekcija</w:t>
            </w:r>
            <w:r>
              <w:rPr>
                <w:sz w:val="22"/>
                <w:szCs w:val="22"/>
              </w:rPr>
              <w:t xml:space="preserve"> “Dzimumu stereotipi profesijas izvēlē un darba meklēšanā” ikgadējo NVA “Karjeras dienu” ietvaros</w:t>
            </w:r>
          </w:p>
        </w:tc>
        <w:tc>
          <w:tcPr>
            <w:tcW w:w="1417" w:type="dxa"/>
          </w:tcPr>
          <w:p w14:paraId="130DFFB5" w14:textId="7A78D6D4" w:rsidR="00E3618A" w:rsidRDefault="00E3618A" w:rsidP="00BF5500">
            <w:pPr>
              <w:spacing w:before="100" w:beforeAutospacing="1" w:after="100" w:afterAutospacing="1"/>
              <w:rPr>
                <w:sz w:val="22"/>
                <w:szCs w:val="22"/>
              </w:rPr>
            </w:pPr>
            <w:r>
              <w:rPr>
                <w:sz w:val="22"/>
                <w:szCs w:val="22"/>
              </w:rPr>
              <w:t>NVA</w:t>
            </w:r>
          </w:p>
        </w:tc>
        <w:tc>
          <w:tcPr>
            <w:tcW w:w="1560" w:type="dxa"/>
          </w:tcPr>
          <w:p w14:paraId="1B1776AF" w14:textId="77777777" w:rsidR="00E3618A" w:rsidRPr="00BF5500" w:rsidRDefault="00E3618A" w:rsidP="00BF5500">
            <w:pPr>
              <w:spacing w:before="100" w:beforeAutospacing="1" w:after="100" w:afterAutospacing="1"/>
              <w:rPr>
                <w:sz w:val="22"/>
                <w:szCs w:val="22"/>
              </w:rPr>
            </w:pPr>
          </w:p>
        </w:tc>
        <w:tc>
          <w:tcPr>
            <w:tcW w:w="2126" w:type="dxa"/>
          </w:tcPr>
          <w:p w14:paraId="6E30C654" w14:textId="5AF47DB1" w:rsidR="00E3618A" w:rsidRDefault="00E3618A" w:rsidP="00BF5500">
            <w:pPr>
              <w:spacing w:before="100" w:beforeAutospacing="1" w:after="100" w:afterAutospacing="1"/>
              <w:rPr>
                <w:sz w:val="22"/>
                <w:szCs w:val="22"/>
              </w:rPr>
            </w:pPr>
            <w:r>
              <w:rPr>
                <w:sz w:val="22"/>
                <w:szCs w:val="22"/>
              </w:rPr>
              <w:t>2026. gada 1. ceturksnis</w:t>
            </w:r>
          </w:p>
        </w:tc>
      </w:tr>
      <w:tr w:rsidR="00E3618A" w:rsidRPr="00BF5500" w14:paraId="42FB2F8C" w14:textId="77777777" w:rsidTr="00DD0178">
        <w:trPr>
          <w:trHeight w:val="1340"/>
        </w:trPr>
        <w:tc>
          <w:tcPr>
            <w:tcW w:w="843" w:type="dxa"/>
            <w:vMerge/>
          </w:tcPr>
          <w:p w14:paraId="292CF414" w14:textId="77777777" w:rsidR="00E3618A" w:rsidRPr="00BF5500" w:rsidRDefault="00E3618A" w:rsidP="00BF5500">
            <w:pPr>
              <w:spacing w:before="100" w:beforeAutospacing="1" w:after="100" w:afterAutospacing="1"/>
              <w:rPr>
                <w:sz w:val="22"/>
                <w:szCs w:val="22"/>
              </w:rPr>
            </w:pPr>
          </w:p>
        </w:tc>
        <w:tc>
          <w:tcPr>
            <w:tcW w:w="2129" w:type="dxa"/>
            <w:vMerge/>
          </w:tcPr>
          <w:p w14:paraId="3C9C5DDC" w14:textId="77777777" w:rsidR="00E3618A" w:rsidRPr="00BF5500" w:rsidRDefault="00E3618A" w:rsidP="00BF5500">
            <w:pPr>
              <w:spacing w:before="100" w:beforeAutospacing="1" w:after="100" w:afterAutospacing="1"/>
              <w:rPr>
                <w:sz w:val="22"/>
                <w:szCs w:val="22"/>
              </w:rPr>
            </w:pPr>
          </w:p>
        </w:tc>
        <w:tc>
          <w:tcPr>
            <w:tcW w:w="2552" w:type="dxa"/>
            <w:vMerge/>
          </w:tcPr>
          <w:p w14:paraId="55C99C69" w14:textId="77777777" w:rsidR="00E3618A" w:rsidRDefault="00E3618A" w:rsidP="00BF5500">
            <w:pPr>
              <w:spacing w:before="100" w:beforeAutospacing="1" w:after="100" w:afterAutospacing="1"/>
              <w:rPr>
                <w:sz w:val="22"/>
                <w:szCs w:val="22"/>
              </w:rPr>
            </w:pPr>
          </w:p>
        </w:tc>
        <w:tc>
          <w:tcPr>
            <w:tcW w:w="2693" w:type="dxa"/>
          </w:tcPr>
          <w:p w14:paraId="328239AB" w14:textId="49E11EA4" w:rsidR="00E3618A" w:rsidRDefault="0068499A" w:rsidP="00B54060">
            <w:pPr>
              <w:spacing w:before="100" w:beforeAutospacing="1" w:after="100" w:afterAutospacing="1"/>
              <w:jc w:val="both"/>
              <w:rPr>
                <w:sz w:val="22"/>
                <w:szCs w:val="22"/>
              </w:rPr>
            </w:pPr>
            <w:r>
              <w:rPr>
                <w:b/>
                <w:bCs/>
                <w:sz w:val="22"/>
                <w:szCs w:val="22"/>
              </w:rPr>
              <w:t xml:space="preserve">Organizēta </w:t>
            </w:r>
            <w:r w:rsidRPr="00395D66">
              <w:rPr>
                <w:b/>
                <w:bCs/>
                <w:sz w:val="22"/>
                <w:szCs w:val="22"/>
              </w:rPr>
              <w:t xml:space="preserve"> </w:t>
            </w:r>
            <w:r w:rsidR="00F412D0" w:rsidRPr="00395D66">
              <w:rPr>
                <w:b/>
                <w:bCs/>
                <w:sz w:val="22"/>
                <w:szCs w:val="22"/>
              </w:rPr>
              <w:t>diskusija</w:t>
            </w:r>
            <w:r w:rsidR="00F412D0">
              <w:rPr>
                <w:sz w:val="22"/>
                <w:szCs w:val="22"/>
              </w:rPr>
              <w:t xml:space="preserve"> “Dzimumu stereotipi Latvijas darba tirgū” ikgadējo NVA “Karjeras dienu ietvaros” </w:t>
            </w:r>
          </w:p>
        </w:tc>
        <w:tc>
          <w:tcPr>
            <w:tcW w:w="1417" w:type="dxa"/>
          </w:tcPr>
          <w:p w14:paraId="48EB2093" w14:textId="2C12EEFA" w:rsidR="00E3618A" w:rsidRDefault="00F412D0" w:rsidP="00BF5500">
            <w:pPr>
              <w:spacing w:before="100" w:beforeAutospacing="1" w:after="100" w:afterAutospacing="1"/>
              <w:rPr>
                <w:sz w:val="22"/>
                <w:szCs w:val="22"/>
              </w:rPr>
            </w:pPr>
            <w:r>
              <w:rPr>
                <w:sz w:val="22"/>
                <w:szCs w:val="22"/>
              </w:rPr>
              <w:t>NVA</w:t>
            </w:r>
          </w:p>
        </w:tc>
        <w:tc>
          <w:tcPr>
            <w:tcW w:w="1560" w:type="dxa"/>
          </w:tcPr>
          <w:p w14:paraId="7F4D7DDE" w14:textId="77777777" w:rsidR="00E3618A" w:rsidRPr="00BF5500" w:rsidRDefault="00E3618A" w:rsidP="00BF5500">
            <w:pPr>
              <w:spacing w:before="100" w:beforeAutospacing="1" w:after="100" w:afterAutospacing="1"/>
              <w:rPr>
                <w:sz w:val="22"/>
                <w:szCs w:val="22"/>
              </w:rPr>
            </w:pPr>
          </w:p>
        </w:tc>
        <w:tc>
          <w:tcPr>
            <w:tcW w:w="2126" w:type="dxa"/>
          </w:tcPr>
          <w:p w14:paraId="5AE29F03" w14:textId="669046BE" w:rsidR="00E3618A" w:rsidRDefault="00F412D0" w:rsidP="00BF5500">
            <w:pPr>
              <w:spacing w:before="100" w:beforeAutospacing="1" w:after="100" w:afterAutospacing="1"/>
              <w:rPr>
                <w:sz w:val="22"/>
                <w:szCs w:val="22"/>
              </w:rPr>
            </w:pPr>
            <w:r>
              <w:rPr>
                <w:sz w:val="22"/>
                <w:szCs w:val="22"/>
              </w:rPr>
              <w:t>2026. gada 1. ceturksnis</w:t>
            </w:r>
          </w:p>
        </w:tc>
      </w:tr>
      <w:tr w:rsidR="00BF5500" w:rsidRPr="00BF5500" w14:paraId="2075DFAD" w14:textId="77777777" w:rsidTr="00DD0178">
        <w:trPr>
          <w:trHeight w:val="984"/>
        </w:trPr>
        <w:tc>
          <w:tcPr>
            <w:tcW w:w="843" w:type="dxa"/>
            <w:vMerge w:val="restart"/>
          </w:tcPr>
          <w:p w14:paraId="2BA14F86" w14:textId="77777777" w:rsidR="00BF5500" w:rsidRPr="00BF5500" w:rsidRDefault="00BF5500" w:rsidP="00BF5500">
            <w:pPr>
              <w:spacing w:before="100" w:beforeAutospacing="1" w:after="100" w:afterAutospacing="1"/>
              <w:ind w:left="360"/>
              <w:rPr>
                <w:sz w:val="22"/>
                <w:szCs w:val="22"/>
              </w:rPr>
            </w:pPr>
            <w:r w:rsidRPr="00BF5500">
              <w:rPr>
                <w:sz w:val="22"/>
                <w:szCs w:val="22"/>
              </w:rPr>
              <w:lastRenderedPageBreak/>
              <w:t>2.</w:t>
            </w:r>
          </w:p>
        </w:tc>
        <w:tc>
          <w:tcPr>
            <w:tcW w:w="2129" w:type="dxa"/>
            <w:vMerge w:val="restart"/>
          </w:tcPr>
          <w:p w14:paraId="6674A257" w14:textId="77777777" w:rsidR="00BF5500" w:rsidRPr="00BF5500" w:rsidRDefault="00BF5500" w:rsidP="00B54060">
            <w:pPr>
              <w:spacing w:before="100" w:beforeAutospacing="1" w:after="100" w:afterAutospacing="1"/>
              <w:jc w:val="both"/>
              <w:rPr>
                <w:sz w:val="22"/>
                <w:szCs w:val="22"/>
              </w:rPr>
            </w:pPr>
            <w:r w:rsidRPr="00BF5500">
              <w:rPr>
                <w:sz w:val="22"/>
                <w:szCs w:val="22"/>
              </w:rPr>
              <w:t>Vīriešu un sieviešu darba samaksas atšķirību mazināšana</w:t>
            </w:r>
          </w:p>
        </w:tc>
        <w:tc>
          <w:tcPr>
            <w:tcW w:w="2552" w:type="dxa"/>
            <w:vMerge w:val="restart"/>
          </w:tcPr>
          <w:p w14:paraId="2384DB91" w14:textId="5472E21D" w:rsidR="00BF5500" w:rsidRPr="00BF5500" w:rsidRDefault="00BF5500" w:rsidP="00B54060">
            <w:pPr>
              <w:spacing w:before="100" w:beforeAutospacing="1" w:after="100" w:afterAutospacing="1"/>
              <w:jc w:val="both"/>
              <w:rPr>
                <w:sz w:val="22"/>
                <w:szCs w:val="22"/>
              </w:rPr>
            </w:pPr>
            <w:r w:rsidRPr="00BF5500">
              <w:rPr>
                <w:sz w:val="22"/>
                <w:szCs w:val="22"/>
              </w:rPr>
              <w:t xml:space="preserve">2.1 Sniegts atbalsts darba devējiem un politikas veidotājiem darba samaksas atšķirību mazināšanā un darba samaksas pārskatāmības sistēmas </w:t>
            </w:r>
            <w:r w:rsidR="00463F2F">
              <w:rPr>
                <w:sz w:val="22"/>
                <w:szCs w:val="22"/>
              </w:rPr>
              <w:t xml:space="preserve">attīstīšanā un </w:t>
            </w:r>
            <w:r w:rsidRPr="00BF5500">
              <w:rPr>
                <w:sz w:val="22"/>
                <w:szCs w:val="22"/>
              </w:rPr>
              <w:t>ieviešanā</w:t>
            </w:r>
            <w:r w:rsidR="00B54060">
              <w:rPr>
                <w:sz w:val="22"/>
                <w:szCs w:val="22"/>
              </w:rPr>
              <w:t xml:space="preserve"> Latvijā</w:t>
            </w:r>
          </w:p>
        </w:tc>
        <w:tc>
          <w:tcPr>
            <w:tcW w:w="2693" w:type="dxa"/>
          </w:tcPr>
          <w:p w14:paraId="3AE81C19" w14:textId="77777777" w:rsidR="00BF5500" w:rsidRPr="00BF5500" w:rsidRDefault="00BF5500" w:rsidP="00BF5500">
            <w:pPr>
              <w:spacing w:before="100" w:beforeAutospacing="1" w:after="100" w:afterAutospacing="1"/>
              <w:rPr>
                <w:sz w:val="22"/>
                <w:szCs w:val="22"/>
              </w:rPr>
            </w:pPr>
            <w:r w:rsidRPr="00BF5500">
              <w:rPr>
                <w:b/>
                <w:bCs/>
                <w:sz w:val="22"/>
                <w:szCs w:val="22"/>
              </w:rPr>
              <w:t>Veikts izvērtējums par esošo darba samaksas praksi</w:t>
            </w:r>
            <w:r w:rsidRPr="00BF5500">
              <w:rPr>
                <w:sz w:val="22"/>
                <w:szCs w:val="22"/>
              </w:rPr>
              <w:t xml:space="preserve"> uzņēmumos un iestādēs</w:t>
            </w:r>
            <w:r w:rsidRPr="00BF5500">
              <w:rPr>
                <w:sz w:val="22"/>
                <w:szCs w:val="22"/>
                <w:vertAlign w:val="superscript"/>
              </w:rPr>
              <w:footnoteReference w:id="25"/>
            </w:r>
          </w:p>
        </w:tc>
        <w:tc>
          <w:tcPr>
            <w:tcW w:w="1417" w:type="dxa"/>
          </w:tcPr>
          <w:p w14:paraId="758ABD6D"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560" w:type="dxa"/>
          </w:tcPr>
          <w:p w14:paraId="6691F056" w14:textId="77777777" w:rsidR="00BF5500" w:rsidRPr="00BF5500" w:rsidRDefault="00BF5500" w:rsidP="00BF5500">
            <w:pPr>
              <w:spacing w:before="100" w:beforeAutospacing="1" w:after="100" w:afterAutospacing="1"/>
              <w:rPr>
                <w:sz w:val="22"/>
                <w:szCs w:val="22"/>
              </w:rPr>
            </w:pPr>
          </w:p>
        </w:tc>
        <w:tc>
          <w:tcPr>
            <w:tcW w:w="2126" w:type="dxa"/>
          </w:tcPr>
          <w:p w14:paraId="07BE0942" w14:textId="77777777" w:rsidR="00BF5500" w:rsidRPr="00BF5500" w:rsidRDefault="00BF5500" w:rsidP="00BF5500">
            <w:pPr>
              <w:spacing w:before="100" w:beforeAutospacing="1" w:after="100" w:afterAutospacing="1"/>
              <w:rPr>
                <w:sz w:val="22"/>
                <w:szCs w:val="22"/>
              </w:rPr>
            </w:pPr>
            <w:r w:rsidRPr="00BF5500">
              <w:rPr>
                <w:sz w:val="22"/>
                <w:szCs w:val="22"/>
              </w:rPr>
              <w:t>2024. gada 4. ceturksnis</w:t>
            </w:r>
          </w:p>
        </w:tc>
      </w:tr>
      <w:tr w:rsidR="00BF5500" w:rsidRPr="00BF5500" w14:paraId="121AE2B0" w14:textId="77777777" w:rsidTr="00DD0178">
        <w:trPr>
          <w:trHeight w:val="983"/>
        </w:trPr>
        <w:tc>
          <w:tcPr>
            <w:tcW w:w="843" w:type="dxa"/>
            <w:vMerge/>
          </w:tcPr>
          <w:p w14:paraId="6512BA40" w14:textId="77777777" w:rsidR="00BF5500" w:rsidRPr="00BF5500" w:rsidRDefault="00BF5500" w:rsidP="00BF5500">
            <w:pPr>
              <w:spacing w:before="100" w:beforeAutospacing="1" w:after="100" w:afterAutospacing="1"/>
              <w:ind w:left="360"/>
              <w:rPr>
                <w:sz w:val="22"/>
                <w:szCs w:val="22"/>
              </w:rPr>
            </w:pPr>
          </w:p>
        </w:tc>
        <w:tc>
          <w:tcPr>
            <w:tcW w:w="2129" w:type="dxa"/>
            <w:vMerge/>
          </w:tcPr>
          <w:p w14:paraId="1A801141" w14:textId="77777777" w:rsidR="00BF5500" w:rsidRPr="00BF5500" w:rsidRDefault="00BF5500" w:rsidP="00BF5500">
            <w:pPr>
              <w:spacing w:before="100" w:beforeAutospacing="1" w:after="100" w:afterAutospacing="1"/>
              <w:rPr>
                <w:sz w:val="22"/>
                <w:szCs w:val="22"/>
              </w:rPr>
            </w:pPr>
          </w:p>
        </w:tc>
        <w:tc>
          <w:tcPr>
            <w:tcW w:w="2552" w:type="dxa"/>
            <w:vMerge/>
          </w:tcPr>
          <w:p w14:paraId="3E22A296" w14:textId="77777777" w:rsidR="00BF5500" w:rsidRPr="00BF5500" w:rsidRDefault="00BF5500" w:rsidP="00BF5500">
            <w:pPr>
              <w:spacing w:before="100" w:beforeAutospacing="1" w:after="100" w:afterAutospacing="1"/>
              <w:rPr>
                <w:sz w:val="22"/>
                <w:szCs w:val="22"/>
              </w:rPr>
            </w:pPr>
          </w:p>
        </w:tc>
        <w:tc>
          <w:tcPr>
            <w:tcW w:w="2693" w:type="dxa"/>
          </w:tcPr>
          <w:p w14:paraId="51C42244" w14:textId="5C614A33" w:rsidR="00BF5500" w:rsidRPr="00BF5500" w:rsidRDefault="00F92392" w:rsidP="00B54060">
            <w:pPr>
              <w:spacing w:before="100" w:beforeAutospacing="1" w:after="100" w:afterAutospacing="1"/>
              <w:rPr>
                <w:sz w:val="22"/>
                <w:szCs w:val="22"/>
              </w:rPr>
            </w:pPr>
            <w:r>
              <w:rPr>
                <w:b/>
                <w:bCs/>
                <w:sz w:val="22"/>
                <w:szCs w:val="22"/>
              </w:rPr>
              <w:t>Īstenots i</w:t>
            </w:r>
            <w:r w:rsidR="00BF5500" w:rsidRPr="00BF5500">
              <w:rPr>
                <w:b/>
                <w:bCs/>
                <w:sz w:val="22"/>
                <w:szCs w:val="22"/>
              </w:rPr>
              <w:t>zmēģinājumprojekts</w:t>
            </w:r>
            <w:r w:rsidR="00BF5500" w:rsidRPr="00BF5500">
              <w:rPr>
                <w:sz w:val="22"/>
                <w:szCs w:val="22"/>
              </w:rPr>
              <w:t xml:space="preserve"> 2 politikas veidošanā un īstenošanā iesaistītām valsts un pašvaldības iestādēm un to kapitālsabiedrībām un 2 biedrībām, nodibinājumiem, mikrouzņēmumiem, maziem vai vidējiem uzņēmumiem par darba samaksas pārskatāmības modeļa ieviešanu praksē</w:t>
            </w:r>
            <w:r w:rsidR="00BF5500" w:rsidRPr="00BF5500">
              <w:rPr>
                <w:sz w:val="22"/>
                <w:szCs w:val="22"/>
                <w:vertAlign w:val="superscript"/>
              </w:rPr>
              <w:footnoteReference w:id="26"/>
            </w:r>
          </w:p>
        </w:tc>
        <w:tc>
          <w:tcPr>
            <w:tcW w:w="1417" w:type="dxa"/>
          </w:tcPr>
          <w:p w14:paraId="6C63795F"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560" w:type="dxa"/>
          </w:tcPr>
          <w:p w14:paraId="3F341637" w14:textId="77777777" w:rsidR="00BF5500" w:rsidRPr="00BF5500" w:rsidRDefault="00BF5500" w:rsidP="00BF5500">
            <w:pPr>
              <w:spacing w:before="100" w:beforeAutospacing="1" w:after="100" w:afterAutospacing="1"/>
              <w:rPr>
                <w:sz w:val="22"/>
                <w:szCs w:val="22"/>
              </w:rPr>
            </w:pPr>
          </w:p>
        </w:tc>
        <w:tc>
          <w:tcPr>
            <w:tcW w:w="2126" w:type="dxa"/>
          </w:tcPr>
          <w:p w14:paraId="4C451A9D" w14:textId="77777777" w:rsidR="00BF5500" w:rsidRPr="00BF5500" w:rsidRDefault="00BF5500" w:rsidP="00BF5500">
            <w:pPr>
              <w:spacing w:before="100" w:beforeAutospacing="1" w:after="100" w:afterAutospacing="1"/>
              <w:rPr>
                <w:sz w:val="22"/>
                <w:szCs w:val="22"/>
              </w:rPr>
            </w:pPr>
            <w:r w:rsidRPr="00BF5500">
              <w:rPr>
                <w:sz w:val="22"/>
                <w:szCs w:val="22"/>
              </w:rPr>
              <w:t>2026. gada 4. ceturksnis</w:t>
            </w:r>
          </w:p>
        </w:tc>
      </w:tr>
      <w:tr w:rsidR="00BF5500" w:rsidRPr="00BF5500" w14:paraId="6734B7AC" w14:textId="77777777" w:rsidTr="00DD0178">
        <w:tc>
          <w:tcPr>
            <w:tcW w:w="843" w:type="dxa"/>
            <w:vMerge/>
          </w:tcPr>
          <w:p w14:paraId="2C7731C3" w14:textId="77777777" w:rsidR="00BF5500" w:rsidRPr="00BF5500" w:rsidRDefault="00BF5500" w:rsidP="00BF5500">
            <w:pPr>
              <w:spacing w:before="100" w:beforeAutospacing="1" w:after="100" w:afterAutospacing="1"/>
              <w:rPr>
                <w:sz w:val="22"/>
                <w:szCs w:val="22"/>
              </w:rPr>
            </w:pPr>
          </w:p>
        </w:tc>
        <w:tc>
          <w:tcPr>
            <w:tcW w:w="2129" w:type="dxa"/>
            <w:vMerge/>
          </w:tcPr>
          <w:p w14:paraId="73BCC5AD" w14:textId="77777777" w:rsidR="00BF5500" w:rsidRPr="00BF5500" w:rsidRDefault="00BF5500" w:rsidP="00BF5500">
            <w:pPr>
              <w:spacing w:before="100" w:beforeAutospacing="1" w:after="100" w:afterAutospacing="1"/>
              <w:rPr>
                <w:sz w:val="22"/>
                <w:szCs w:val="22"/>
              </w:rPr>
            </w:pPr>
          </w:p>
        </w:tc>
        <w:tc>
          <w:tcPr>
            <w:tcW w:w="2552" w:type="dxa"/>
          </w:tcPr>
          <w:p w14:paraId="2BF874C3" w14:textId="77777777" w:rsidR="00BF5500" w:rsidRPr="00BF5500" w:rsidRDefault="00BF5500" w:rsidP="00BF5500">
            <w:pPr>
              <w:spacing w:before="100" w:beforeAutospacing="1" w:after="100" w:afterAutospacing="1"/>
              <w:jc w:val="both"/>
              <w:rPr>
                <w:rFonts w:cstheme="minorHAnsi"/>
                <w:sz w:val="22"/>
                <w:szCs w:val="22"/>
              </w:rPr>
            </w:pPr>
            <w:r w:rsidRPr="00BF5500">
              <w:rPr>
                <w:rFonts w:cstheme="minorHAnsi"/>
                <w:sz w:val="22"/>
                <w:szCs w:val="22"/>
              </w:rPr>
              <w:t xml:space="preserve">2.2. Nodrošināta Eiropas Parlamenta un Padomes </w:t>
            </w:r>
            <w:r w:rsidRPr="00BF5500">
              <w:rPr>
                <w:rFonts w:cstheme="minorHAnsi"/>
              </w:rPr>
              <w:t xml:space="preserve">direktīvas (ES) </w:t>
            </w:r>
            <w:r w:rsidRPr="00BF5500">
              <w:rPr>
                <w:rFonts w:cstheme="minorHAnsi"/>
                <w:color w:val="333333"/>
                <w:shd w:val="clear" w:color="auto" w:fill="FFFFFF"/>
              </w:rPr>
              <w:t>2023/970</w:t>
            </w:r>
            <w:r w:rsidRPr="00BF5500">
              <w:rPr>
                <w:rFonts w:cstheme="minorHAnsi"/>
                <w:b/>
                <w:bCs/>
                <w:color w:val="333333"/>
                <w:sz w:val="21"/>
                <w:szCs w:val="21"/>
                <w:shd w:val="clear" w:color="auto" w:fill="FFFFFF"/>
              </w:rPr>
              <w:t xml:space="preserve">  </w:t>
            </w:r>
            <w:r w:rsidRPr="00BF5500">
              <w:rPr>
                <w:rFonts w:cstheme="minorHAnsi"/>
                <w:sz w:val="22"/>
                <w:szCs w:val="22"/>
              </w:rPr>
              <w:t xml:space="preserve">par to, lai darba samaksas </w:t>
            </w:r>
            <w:r w:rsidRPr="00BF5500">
              <w:rPr>
                <w:rFonts w:cstheme="minorHAnsi"/>
                <w:sz w:val="22"/>
                <w:szCs w:val="22"/>
              </w:rPr>
              <w:lastRenderedPageBreak/>
              <w:t>pārredzamības un izpildes mehānismu stiprinātu to, kā tiek piemērots princips par vienādu darba samaksu vīriešiem un sievietēm par vienādu vai vienādi vērtīgu darbu pārņemšana</w:t>
            </w:r>
          </w:p>
        </w:tc>
        <w:tc>
          <w:tcPr>
            <w:tcW w:w="2693" w:type="dxa"/>
          </w:tcPr>
          <w:p w14:paraId="75A41A81" w14:textId="3B011DD5" w:rsidR="00BF5500" w:rsidRPr="00BF5500" w:rsidRDefault="00F92392" w:rsidP="004403AE">
            <w:pPr>
              <w:spacing w:before="100" w:beforeAutospacing="1" w:after="100" w:afterAutospacing="1"/>
              <w:jc w:val="both"/>
              <w:rPr>
                <w:sz w:val="22"/>
                <w:szCs w:val="22"/>
              </w:rPr>
            </w:pPr>
            <w:r>
              <w:rPr>
                <w:sz w:val="22"/>
                <w:szCs w:val="22"/>
              </w:rPr>
              <w:lastRenderedPageBreak/>
              <w:t xml:space="preserve">Veikti </w:t>
            </w:r>
            <w:r w:rsidRPr="00F926CC">
              <w:rPr>
                <w:b/>
                <w:bCs/>
                <w:sz w:val="22"/>
                <w:szCs w:val="22"/>
              </w:rPr>
              <w:t>g</w:t>
            </w:r>
            <w:r w:rsidR="00BF5500" w:rsidRPr="00F926CC">
              <w:rPr>
                <w:b/>
                <w:bCs/>
                <w:sz w:val="22"/>
                <w:szCs w:val="22"/>
              </w:rPr>
              <w:t>rozījumi tiesību aktos</w:t>
            </w:r>
            <w:r w:rsidR="00BF5500" w:rsidRPr="00BF5500">
              <w:rPr>
                <w:sz w:val="22"/>
                <w:szCs w:val="22"/>
              </w:rPr>
              <w:t xml:space="preserve"> (pēc nepieciešamības</w:t>
            </w:r>
            <w:r w:rsidR="00230D30">
              <w:rPr>
                <w:sz w:val="22"/>
                <w:szCs w:val="22"/>
              </w:rPr>
              <w:t>)</w:t>
            </w:r>
            <w:r w:rsidR="00BF5500" w:rsidRPr="00BF5500">
              <w:rPr>
                <w:sz w:val="22"/>
                <w:szCs w:val="22"/>
              </w:rPr>
              <w:t xml:space="preserve"> </w:t>
            </w:r>
          </w:p>
        </w:tc>
        <w:tc>
          <w:tcPr>
            <w:tcW w:w="1417" w:type="dxa"/>
          </w:tcPr>
          <w:p w14:paraId="3399B383" w14:textId="77777777" w:rsidR="00BF5500" w:rsidRPr="00BF5500" w:rsidRDefault="00BF5500" w:rsidP="00BF5500">
            <w:pPr>
              <w:spacing w:before="100" w:beforeAutospacing="1" w:after="100" w:afterAutospacing="1"/>
              <w:rPr>
                <w:sz w:val="22"/>
                <w:szCs w:val="22"/>
              </w:rPr>
            </w:pPr>
            <w:r w:rsidRPr="00BF5500">
              <w:rPr>
                <w:sz w:val="22"/>
                <w:szCs w:val="22"/>
              </w:rPr>
              <w:t>LM</w:t>
            </w:r>
          </w:p>
          <w:p w14:paraId="2A886AC1" w14:textId="77777777" w:rsidR="00BF5500" w:rsidRPr="00BF5500" w:rsidRDefault="00BF5500" w:rsidP="00BF5500">
            <w:pPr>
              <w:spacing w:before="100" w:beforeAutospacing="1" w:after="100" w:afterAutospacing="1"/>
              <w:jc w:val="center"/>
              <w:rPr>
                <w:sz w:val="22"/>
                <w:szCs w:val="22"/>
              </w:rPr>
            </w:pPr>
          </w:p>
        </w:tc>
        <w:tc>
          <w:tcPr>
            <w:tcW w:w="1560" w:type="dxa"/>
          </w:tcPr>
          <w:p w14:paraId="4E743080" w14:textId="77777777" w:rsidR="00BF5500" w:rsidRPr="00BF5500" w:rsidRDefault="00BF5500" w:rsidP="00BF5500">
            <w:pPr>
              <w:spacing w:before="100" w:beforeAutospacing="1" w:after="100" w:afterAutospacing="1"/>
              <w:rPr>
                <w:sz w:val="22"/>
                <w:szCs w:val="22"/>
              </w:rPr>
            </w:pPr>
            <w:r w:rsidRPr="00BF5500">
              <w:rPr>
                <w:sz w:val="22"/>
                <w:szCs w:val="22"/>
              </w:rPr>
              <w:t>Nozaru ministrijas, VK</w:t>
            </w:r>
          </w:p>
        </w:tc>
        <w:tc>
          <w:tcPr>
            <w:tcW w:w="2126" w:type="dxa"/>
          </w:tcPr>
          <w:p w14:paraId="5A7575CA" w14:textId="77777777" w:rsidR="00BF5500" w:rsidRPr="00BF5500" w:rsidRDefault="00BF5500" w:rsidP="00BF5500">
            <w:pPr>
              <w:spacing w:before="100" w:beforeAutospacing="1" w:after="100" w:afterAutospacing="1"/>
              <w:rPr>
                <w:sz w:val="22"/>
                <w:szCs w:val="22"/>
              </w:rPr>
            </w:pPr>
            <w:r w:rsidRPr="00BF5500">
              <w:rPr>
                <w:sz w:val="22"/>
                <w:szCs w:val="22"/>
              </w:rPr>
              <w:t>2026. gada 3. ceturksnis</w:t>
            </w:r>
          </w:p>
        </w:tc>
      </w:tr>
      <w:tr w:rsidR="00BF5500" w:rsidRPr="00BF5500" w14:paraId="5E0BE99E" w14:textId="77777777" w:rsidTr="00DD0178">
        <w:tc>
          <w:tcPr>
            <w:tcW w:w="843" w:type="dxa"/>
          </w:tcPr>
          <w:p w14:paraId="6C7733E6" w14:textId="77777777" w:rsidR="00BF5500" w:rsidRPr="00BF5500" w:rsidRDefault="00BF5500" w:rsidP="00BF5500">
            <w:pPr>
              <w:spacing w:before="100" w:beforeAutospacing="1" w:after="100" w:afterAutospacing="1"/>
              <w:rPr>
                <w:sz w:val="22"/>
                <w:szCs w:val="22"/>
              </w:rPr>
            </w:pPr>
          </w:p>
        </w:tc>
        <w:tc>
          <w:tcPr>
            <w:tcW w:w="2129" w:type="dxa"/>
          </w:tcPr>
          <w:p w14:paraId="340EE668" w14:textId="77777777" w:rsidR="00BF5500" w:rsidRPr="00BF5500" w:rsidRDefault="00BF5500" w:rsidP="00BF5500">
            <w:pPr>
              <w:spacing w:before="100" w:beforeAutospacing="1" w:after="100" w:afterAutospacing="1"/>
              <w:rPr>
                <w:sz w:val="22"/>
                <w:szCs w:val="22"/>
              </w:rPr>
            </w:pPr>
          </w:p>
        </w:tc>
        <w:tc>
          <w:tcPr>
            <w:tcW w:w="2552" w:type="dxa"/>
          </w:tcPr>
          <w:p w14:paraId="3AA9F454" w14:textId="77777777" w:rsidR="00BF5500" w:rsidRPr="00BF5500" w:rsidRDefault="00BF5500" w:rsidP="00BF5500">
            <w:pPr>
              <w:spacing w:before="100" w:beforeAutospacing="1" w:after="100" w:afterAutospacing="1"/>
              <w:jc w:val="both"/>
              <w:rPr>
                <w:rFonts w:cstheme="minorHAnsi"/>
                <w:sz w:val="22"/>
                <w:szCs w:val="22"/>
              </w:rPr>
            </w:pPr>
            <w:r w:rsidRPr="00BF5500">
              <w:rPr>
                <w:rFonts w:cstheme="minorHAnsi"/>
                <w:sz w:val="22"/>
                <w:szCs w:val="22"/>
              </w:rPr>
              <w:t>2.3. Veicināta sabiedrības informētība par savām tiesībām saņemt vienādu atalgojumu par vienādas vērtības darbu.</w:t>
            </w:r>
          </w:p>
        </w:tc>
        <w:tc>
          <w:tcPr>
            <w:tcW w:w="2693" w:type="dxa"/>
          </w:tcPr>
          <w:p w14:paraId="250F1E79" w14:textId="10D52A56" w:rsidR="00BF5500" w:rsidRPr="00BF5500" w:rsidRDefault="00BF5500" w:rsidP="004403AE">
            <w:pPr>
              <w:spacing w:before="100" w:beforeAutospacing="1" w:after="100" w:afterAutospacing="1"/>
              <w:jc w:val="both"/>
              <w:rPr>
                <w:sz w:val="22"/>
                <w:szCs w:val="22"/>
              </w:rPr>
            </w:pPr>
            <w:r w:rsidRPr="00BF5500">
              <w:rPr>
                <w:sz w:val="22"/>
                <w:szCs w:val="22"/>
              </w:rPr>
              <w:t xml:space="preserve">- Katru gadu  </w:t>
            </w:r>
            <w:r w:rsidRPr="00BF5500">
              <w:rPr>
                <w:b/>
                <w:bCs/>
                <w:sz w:val="22"/>
                <w:szCs w:val="22"/>
              </w:rPr>
              <w:t>aktualizēti statistikas dati</w:t>
            </w:r>
            <w:r w:rsidRPr="00BF5500">
              <w:rPr>
                <w:sz w:val="22"/>
                <w:szCs w:val="22"/>
              </w:rPr>
              <w:t xml:space="preserve"> par darba samaksas atšķirībām starp sievietēm un vīriešiem</w:t>
            </w:r>
          </w:p>
          <w:p w14:paraId="5010C745" w14:textId="2FF1FBAB" w:rsidR="00BF5500" w:rsidRPr="00BF5500" w:rsidRDefault="00BF5500" w:rsidP="004403AE">
            <w:pPr>
              <w:spacing w:before="100" w:beforeAutospacing="1" w:after="100" w:afterAutospacing="1"/>
              <w:jc w:val="both"/>
              <w:rPr>
                <w:sz w:val="22"/>
                <w:szCs w:val="22"/>
              </w:rPr>
            </w:pPr>
            <w:r w:rsidRPr="00BF5500">
              <w:rPr>
                <w:sz w:val="22"/>
                <w:szCs w:val="22"/>
              </w:rPr>
              <w:t xml:space="preserve">- </w:t>
            </w:r>
            <w:r w:rsidR="00A070E1" w:rsidRPr="00F926CC">
              <w:rPr>
                <w:b/>
                <w:bCs/>
                <w:sz w:val="22"/>
                <w:szCs w:val="22"/>
              </w:rPr>
              <w:t>Ī</w:t>
            </w:r>
            <w:r w:rsidR="00A070E1">
              <w:rPr>
                <w:b/>
                <w:bCs/>
                <w:sz w:val="22"/>
                <w:szCs w:val="22"/>
              </w:rPr>
              <w:t xml:space="preserve">stenoti </w:t>
            </w:r>
            <w:r w:rsidR="00A070E1" w:rsidRPr="00BF5500">
              <w:rPr>
                <w:sz w:val="22"/>
                <w:szCs w:val="22"/>
              </w:rPr>
              <w:t xml:space="preserve"> </w:t>
            </w:r>
            <w:r w:rsidRPr="00BF5500">
              <w:rPr>
                <w:b/>
                <w:bCs/>
                <w:sz w:val="22"/>
                <w:szCs w:val="22"/>
              </w:rPr>
              <w:t>informatīvi pasākumi</w:t>
            </w:r>
            <w:r w:rsidRPr="00BF5500">
              <w:rPr>
                <w:sz w:val="22"/>
                <w:szCs w:val="22"/>
              </w:rPr>
              <w:t xml:space="preserve"> par ikviena tiesībām saņemt vienādu atalgojumu tādu pašu vai vienādas vērtības darbu </w:t>
            </w:r>
          </w:p>
        </w:tc>
        <w:tc>
          <w:tcPr>
            <w:tcW w:w="1417" w:type="dxa"/>
          </w:tcPr>
          <w:p w14:paraId="2EB98E90"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560" w:type="dxa"/>
          </w:tcPr>
          <w:p w14:paraId="1F9F04C1" w14:textId="77777777" w:rsidR="00BF5500" w:rsidRPr="00BF5500" w:rsidRDefault="00BF5500" w:rsidP="00BF5500">
            <w:pPr>
              <w:spacing w:before="100" w:beforeAutospacing="1" w:after="100" w:afterAutospacing="1"/>
              <w:rPr>
                <w:sz w:val="22"/>
                <w:szCs w:val="22"/>
              </w:rPr>
            </w:pPr>
            <w:r w:rsidRPr="00BF5500">
              <w:rPr>
                <w:sz w:val="22"/>
                <w:szCs w:val="22"/>
              </w:rPr>
              <w:t>CSP, VK, nozaru ministrijas</w:t>
            </w:r>
          </w:p>
        </w:tc>
        <w:tc>
          <w:tcPr>
            <w:tcW w:w="2126" w:type="dxa"/>
          </w:tcPr>
          <w:p w14:paraId="32861CCE" w14:textId="77777777" w:rsidR="00BF5500" w:rsidRPr="00A92BCF" w:rsidRDefault="00BF5500" w:rsidP="00BF5500">
            <w:pPr>
              <w:spacing w:before="100" w:beforeAutospacing="1" w:after="100" w:afterAutospacing="1"/>
              <w:rPr>
                <w:sz w:val="22"/>
                <w:szCs w:val="22"/>
              </w:rPr>
            </w:pPr>
            <w:r w:rsidRPr="00A92BCF">
              <w:rPr>
                <w:sz w:val="22"/>
                <w:szCs w:val="22"/>
              </w:rPr>
              <w:t>2027. gada 4.ceturksnis</w:t>
            </w:r>
          </w:p>
        </w:tc>
      </w:tr>
      <w:tr w:rsidR="00F45223" w:rsidRPr="004535E6" w14:paraId="5EEFEAD4" w14:textId="77777777" w:rsidTr="00DD0178">
        <w:tc>
          <w:tcPr>
            <w:tcW w:w="843" w:type="dxa"/>
          </w:tcPr>
          <w:p w14:paraId="51E6A713" w14:textId="3778CB4A" w:rsidR="00F45223" w:rsidRPr="00D647ED" w:rsidRDefault="004535E6" w:rsidP="004535E6">
            <w:pPr>
              <w:spacing w:before="100" w:beforeAutospacing="1" w:after="100" w:afterAutospacing="1"/>
              <w:rPr>
                <w:rFonts w:cstheme="minorHAnsi"/>
                <w:sz w:val="22"/>
                <w:szCs w:val="22"/>
              </w:rPr>
            </w:pPr>
            <w:r>
              <w:rPr>
                <w:rFonts w:cstheme="minorHAnsi"/>
                <w:sz w:val="22"/>
                <w:szCs w:val="22"/>
              </w:rPr>
              <w:t>3.</w:t>
            </w:r>
          </w:p>
        </w:tc>
        <w:tc>
          <w:tcPr>
            <w:tcW w:w="2129" w:type="dxa"/>
          </w:tcPr>
          <w:p w14:paraId="18A46ADB" w14:textId="5060728F" w:rsidR="00F45223" w:rsidRPr="004535E6" w:rsidRDefault="00F45223" w:rsidP="0000452E">
            <w:pPr>
              <w:spacing w:before="100" w:beforeAutospacing="1" w:after="100" w:afterAutospacing="1"/>
              <w:rPr>
                <w:rFonts w:cstheme="minorHAnsi"/>
                <w:sz w:val="22"/>
                <w:szCs w:val="22"/>
              </w:rPr>
            </w:pPr>
            <w:r w:rsidRPr="00D647ED">
              <w:rPr>
                <w:rFonts w:cstheme="minorHAnsi"/>
                <w:sz w:val="22"/>
                <w:szCs w:val="22"/>
              </w:rPr>
              <w:t xml:space="preserve">STEM popularizēšanas pasākumi meiteņu vidū </w:t>
            </w:r>
          </w:p>
        </w:tc>
        <w:tc>
          <w:tcPr>
            <w:tcW w:w="2552" w:type="dxa"/>
          </w:tcPr>
          <w:p w14:paraId="76A41D0F" w14:textId="22708502" w:rsidR="00F45223" w:rsidRPr="001A7BB2" w:rsidRDefault="00F45223" w:rsidP="00BF5500">
            <w:pPr>
              <w:spacing w:before="100" w:beforeAutospacing="1" w:after="100" w:afterAutospacing="1"/>
              <w:jc w:val="both"/>
              <w:rPr>
                <w:rFonts w:cstheme="minorHAnsi"/>
                <w:sz w:val="22"/>
                <w:szCs w:val="22"/>
              </w:rPr>
            </w:pPr>
            <w:r w:rsidRPr="00D647ED">
              <w:rPr>
                <w:rFonts w:cstheme="minorHAnsi"/>
                <w:sz w:val="22"/>
                <w:szCs w:val="22"/>
              </w:rPr>
              <w:t>Izveidoti valsts nozīmes interešu izglītības centri, kas īsteno interešu izglītības programmu piedāvājumu, t.sk. zinātnes, tehnoloģiju, vides, inženierzinātņu un matemātikas jomās.</w:t>
            </w:r>
          </w:p>
        </w:tc>
        <w:tc>
          <w:tcPr>
            <w:tcW w:w="2693" w:type="dxa"/>
          </w:tcPr>
          <w:p w14:paraId="10FBCFEC" w14:textId="49A45713" w:rsidR="00F45223" w:rsidRPr="001A7BB2" w:rsidRDefault="00D10E29" w:rsidP="00BF5500">
            <w:pPr>
              <w:spacing w:before="100" w:beforeAutospacing="1" w:after="100" w:afterAutospacing="1"/>
              <w:rPr>
                <w:rFonts w:cstheme="minorHAnsi"/>
                <w:sz w:val="22"/>
                <w:szCs w:val="22"/>
              </w:rPr>
            </w:pPr>
            <w:r w:rsidRPr="00D647ED">
              <w:rPr>
                <w:rFonts w:cstheme="minorHAnsi"/>
                <w:sz w:val="22"/>
                <w:szCs w:val="22"/>
              </w:rPr>
              <w:t xml:space="preserve">Organizēti dažādi </w:t>
            </w:r>
            <w:r w:rsidRPr="00F926CC">
              <w:rPr>
                <w:rFonts w:cstheme="minorHAnsi"/>
                <w:b/>
                <w:bCs/>
                <w:sz w:val="22"/>
                <w:szCs w:val="22"/>
              </w:rPr>
              <w:t>interešu izglītības pasākumi</w:t>
            </w:r>
            <w:r w:rsidRPr="00D647ED">
              <w:rPr>
                <w:rFonts w:cstheme="minorHAnsi"/>
                <w:sz w:val="22"/>
                <w:szCs w:val="22"/>
              </w:rPr>
              <w:t xml:space="preserve"> izglītojamo motivācijas un intereses veicināšanai par STEM jomām, t.sk. meiteņu vidū</w:t>
            </w:r>
          </w:p>
        </w:tc>
        <w:tc>
          <w:tcPr>
            <w:tcW w:w="1417" w:type="dxa"/>
          </w:tcPr>
          <w:p w14:paraId="276453CC" w14:textId="4EDBD043" w:rsidR="00F45223" w:rsidRPr="00C21C12" w:rsidRDefault="00D10E29" w:rsidP="00BF5500">
            <w:pPr>
              <w:spacing w:before="100" w:beforeAutospacing="1" w:after="100" w:afterAutospacing="1"/>
              <w:rPr>
                <w:rFonts w:cstheme="minorHAnsi"/>
                <w:sz w:val="22"/>
                <w:szCs w:val="22"/>
              </w:rPr>
            </w:pPr>
            <w:r w:rsidRPr="00C21C12">
              <w:rPr>
                <w:rFonts w:cstheme="minorHAnsi"/>
                <w:sz w:val="22"/>
                <w:szCs w:val="22"/>
              </w:rPr>
              <w:t>IZM</w:t>
            </w:r>
          </w:p>
        </w:tc>
        <w:tc>
          <w:tcPr>
            <w:tcW w:w="1560" w:type="dxa"/>
          </w:tcPr>
          <w:p w14:paraId="4EEF8263" w14:textId="77777777" w:rsidR="00F45223" w:rsidRPr="00C21C12" w:rsidRDefault="00F45223" w:rsidP="00BF5500">
            <w:pPr>
              <w:spacing w:before="100" w:beforeAutospacing="1" w:after="100" w:afterAutospacing="1"/>
              <w:rPr>
                <w:rFonts w:cstheme="minorHAnsi"/>
                <w:sz w:val="22"/>
                <w:szCs w:val="22"/>
              </w:rPr>
            </w:pPr>
          </w:p>
        </w:tc>
        <w:tc>
          <w:tcPr>
            <w:tcW w:w="2126" w:type="dxa"/>
          </w:tcPr>
          <w:p w14:paraId="556A0287" w14:textId="68D4D224" w:rsidR="00F45223" w:rsidRPr="00A92BCF" w:rsidRDefault="00D10E29" w:rsidP="00BF5500">
            <w:pPr>
              <w:spacing w:before="100" w:beforeAutospacing="1" w:after="100" w:afterAutospacing="1"/>
              <w:rPr>
                <w:rFonts w:cstheme="minorHAnsi"/>
                <w:sz w:val="22"/>
                <w:szCs w:val="22"/>
              </w:rPr>
            </w:pPr>
            <w:r w:rsidRPr="00A92BCF">
              <w:rPr>
                <w:rFonts w:cstheme="minorHAnsi"/>
                <w:sz w:val="22"/>
                <w:szCs w:val="22"/>
              </w:rPr>
              <w:t>2027. gada 4.ceturksnis</w:t>
            </w:r>
          </w:p>
        </w:tc>
      </w:tr>
      <w:tr w:rsidR="00750CB9" w:rsidRPr="00BF5500" w14:paraId="5512DCFB" w14:textId="77777777" w:rsidTr="00DD0178">
        <w:tc>
          <w:tcPr>
            <w:tcW w:w="843" w:type="dxa"/>
          </w:tcPr>
          <w:p w14:paraId="53E312F7" w14:textId="59B60F36" w:rsidR="00750CB9" w:rsidRPr="00BF5500" w:rsidRDefault="004535E6" w:rsidP="00750CB9">
            <w:pPr>
              <w:spacing w:before="100" w:beforeAutospacing="1" w:after="100" w:afterAutospacing="1"/>
              <w:rPr>
                <w:sz w:val="22"/>
                <w:szCs w:val="22"/>
              </w:rPr>
            </w:pPr>
            <w:r>
              <w:rPr>
                <w:sz w:val="22"/>
                <w:szCs w:val="22"/>
              </w:rPr>
              <w:t>4.</w:t>
            </w:r>
          </w:p>
        </w:tc>
        <w:tc>
          <w:tcPr>
            <w:tcW w:w="2129" w:type="dxa"/>
          </w:tcPr>
          <w:p w14:paraId="495B72F5" w14:textId="28DDE432" w:rsidR="00750CB9" w:rsidRPr="0080377C" w:rsidRDefault="00750CB9" w:rsidP="00750CB9">
            <w:pPr>
              <w:spacing w:before="100" w:beforeAutospacing="1" w:after="100" w:afterAutospacing="1"/>
              <w:rPr>
                <w:rFonts w:cstheme="minorHAnsi"/>
                <w:sz w:val="22"/>
                <w:szCs w:val="22"/>
              </w:rPr>
            </w:pPr>
            <w:r w:rsidRPr="0080377C">
              <w:rPr>
                <w:rFonts w:cstheme="minorHAnsi"/>
                <w:sz w:val="22"/>
                <w:szCs w:val="22"/>
              </w:rPr>
              <w:t>Pasākumi un labās prakses piemēri zēnu lasītprasmes veicināšanai</w:t>
            </w:r>
          </w:p>
        </w:tc>
        <w:tc>
          <w:tcPr>
            <w:tcW w:w="2552" w:type="dxa"/>
          </w:tcPr>
          <w:p w14:paraId="54560A0D" w14:textId="3A26AF3E" w:rsidR="00750CB9" w:rsidRPr="0080377C" w:rsidRDefault="00750CB9" w:rsidP="00750CB9">
            <w:pPr>
              <w:spacing w:before="100" w:beforeAutospacing="1" w:after="100" w:afterAutospacing="1"/>
              <w:jc w:val="both"/>
              <w:rPr>
                <w:rFonts w:cstheme="minorHAnsi"/>
                <w:sz w:val="22"/>
                <w:szCs w:val="22"/>
              </w:rPr>
            </w:pPr>
            <w:r w:rsidRPr="0080377C">
              <w:rPr>
                <w:rFonts w:cstheme="minorHAnsi"/>
                <w:sz w:val="22"/>
                <w:szCs w:val="22"/>
              </w:rPr>
              <w:t>Veicināta lasītprasmes pasākumu īstenošana</w:t>
            </w:r>
          </w:p>
        </w:tc>
        <w:tc>
          <w:tcPr>
            <w:tcW w:w="2693" w:type="dxa"/>
          </w:tcPr>
          <w:p w14:paraId="03CC87E4" w14:textId="78E85CD0" w:rsidR="00750CB9" w:rsidRPr="0080377C" w:rsidRDefault="00750CB9" w:rsidP="00C705D8">
            <w:pPr>
              <w:spacing w:before="100" w:beforeAutospacing="1" w:after="100" w:afterAutospacing="1"/>
              <w:jc w:val="both"/>
              <w:rPr>
                <w:rFonts w:cstheme="minorHAnsi"/>
                <w:sz w:val="22"/>
                <w:szCs w:val="22"/>
              </w:rPr>
            </w:pPr>
            <w:r w:rsidRPr="00F926CC">
              <w:rPr>
                <w:rFonts w:cstheme="minorHAnsi"/>
                <w:b/>
                <w:bCs/>
                <w:sz w:val="22"/>
                <w:szCs w:val="22"/>
              </w:rPr>
              <w:t>Īstenoti pasākumi lasītprasmes veicināšanai</w:t>
            </w:r>
            <w:r w:rsidRPr="0080377C">
              <w:rPr>
                <w:rFonts w:cstheme="minorHAnsi"/>
                <w:sz w:val="22"/>
                <w:szCs w:val="22"/>
              </w:rPr>
              <w:t xml:space="preserve"> vispārējā izglītībā, t.sk. saistībā ar zēnu lasītprasmes veicināšanu</w:t>
            </w:r>
          </w:p>
        </w:tc>
        <w:tc>
          <w:tcPr>
            <w:tcW w:w="1417" w:type="dxa"/>
          </w:tcPr>
          <w:p w14:paraId="5885F045" w14:textId="0F5B38A0" w:rsidR="00750CB9" w:rsidRPr="0080377C" w:rsidRDefault="00750CB9" w:rsidP="00750CB9">
            <w:pPr>
              <w:spacing w:before="100" w:beforeAutospacing="1" w:after="100" w:afterAutospacing="1"/>
              <w:rPr>
                <w:sz w:val="22"/>
                <w:szCs w:val="22"/>
              </w:rPr>
            </w:pPr>
            <w:r w:rsidRPr="0080377C">
              <w:rPr>
                <w:sz w:val="22"/>
                <w:szCs w:val="22"/>
              </w:rPr>
              <w:t>IZM</w:t>
            </w:r>
          </w:p>
        </w:tc>
        <w:tc>
          <w:tcPr>
            <w:tcW w:w="1560" w:type="dxa"/>
          </w:tcPr>
          <w:p w14:paraId="255F7AFC" w14:textId="77777777" w:rsidR="00750CB9" w:rsidRPr="0080377C" w:rsidRDefault="00750CB9" w:rsidP="00750CB9">
            <w:pPr>
              <w:spacing w:before="100" w:beforeAutospacing="1" w:after="100" w:afterAutospacing="1"/>
              <w:rPr>
                <w:sz w:val="22"/>
                <w:szCs w:val="22"/>
              </w:rPr>
            </w:pPr>
          </w:p>
        </w:tc>
        <w:tc>
          <w:tcPr>
            <w:tcW w:w="2126" w:type="dxa"/>
          </w:tcPr>
          <w:p w14:paraId="5AFDC8F2" w14:textId="23453212" w:rsidR="00750CB9" w:rsidRPr="0080377C" w:rsidRDefault="00750CB9" w:rsidP="00750CB9">
            <w:pPr>
              <w:spacing w:before="100" w:beforeAutospacing="1" w:after="100" w:afterAutospacing="1"/>
              <w:rPr>
                <w:rFonts w:cstheme="minorHAnsi"/>
              </w:rPr>
            </w:pPr>
            <w:r w:rsidRPr="0080377C">
              <w:rPr>
                <w:rFonts w:cstheme="minorHAnsi"/>
                <w:sz w:val="22"/>
                <w:szCs w:val="22"/>
              </w:rPr>
              <w:t>2027. gada 4.ceturksnis</w:t>
            </w:r>
          </w:p>
        </w:tc>
      </w:tr>
      <w:tr w:rsidR="00716207" w:rsidRPr="00BF5500" w14:paraId="77DBEB54" w14:textId="77777777" w:rsidTr="00DD0178">
        <w:tc>
          <w:tcPr>
            <w:tcW w:w="843" w:type="dxa"/>
          </w:tcPr>
          <w:p w14:paraId="2933C397" w14:textId="36B58E47" w:rsidR="00716207" w:rsidRPr="00BF5500" w:rsidRDefault="004535E6" w:rsidP="00750CB9">
            <w:pPr>
              <w:spacing w:before="100" w:beforeAutospacing="1" w:after="100" w:afterAutospacing="1"/>
              <w:rPr>
                <w:sz w:val="22"/>
                <w:szCs w:val="22"/>
              </w:rPr>
            </w:pPr>
            <w:r>
              <w:rPr>
                <w:sz w:val="22"/>
                <w:szCs w:val="22"/>
              </w:rPr>
              <w:lastRenderedPageBreak/>
              <w:t>5.</w:t>
            </w:r>
          </w:p>
        </w:tc>
        <w:tc>
          <w:tcPr>
            <w:tcW w:w="2129" w:type="dxa"/>
          </w:tcPr>
          <w:p w14:paraId="41E336DF" w14:textId="4ADFFC89" w:rsidR="00716207" w:rsidRPr="0080377C" w:rsidRDefault="00716207" w:rsidP="00C705D8">
            <w:pPr>
              <w:spacing w:before="100" w:beforeAutospacing="1" w:after="100" w:afterAutospacing="1"/>
              <w:jc w:val="both"/>
              <w:rPr>
                <w:rFonts w:cstheme="minorHAnsi"/>
                <w:sz w:val="22"/>
                <w:szCs w:val="22"/>
              </w:rPr>
            </w:pPr>
            <w:r w:rsidRPr="0080377C">
              <w:rPr>
                <w:rFonts w:cstheme="minorHAnsi"/>
                <w:sz w:val="22"/>
                <w:szCs w:val="22"/>
              </w:rPr>
              <w:t>Dzimumu līdztiesības principu stiprināšana augstākajā izglītībā un zinātnē</w:t>
            </w:r>
          </w:p>
        </w:tc>
        <w:tc>
          <w:tcPr>
            <w:tcW w:w="2552" w:type="dxa"/>
          </w:tcPr>
          <w:p w14:paraId="44BCD9A2" w14:textId="78220A60" w:rsidR="00716207" w:rsidRPr="0080377C" w:rsidRDefault="00716207" w:rsidP="00750CB9">
            <w:pPr>
              <w:spacing w:before="100" w:beforeAutospacing="1" w:after="100" w:afterAutospacing="1"/>
              <w:jc w:val="both"/>
              <w:rPr>
                <w:rFonts w:cstheme="minorHAnsi"/>
                <w:sz w:val="22"/>
                <w:szCs w:val="22"/>
              </w:rPr>
            </w:pPr>
            <w:r w:rsidRPr="0080377C">
              <w:rPr>
                <w:rFonts w:cstheme="minorHAnsi"/>
                <w:sz w:val="22"/>
                <w:szCs w:val="22"/>
              </w:rPr>
              <w:t>Īstenoti pasākumi sieviešu un vīriešu vienlīdzīgu tiesību un iespēju  veicināšanai augstākajā izglītībā un zinātnē</w:t>
            </w:r>
          </w:p>
        </w:tc>
        <w:tc>
          <w:tcPr>
            <w:tcW w:w="2693" w:type="dxa"/>
          </w:tcPr>
          <w:p w14:paraId="1BF606C7" w14:textId="17881106" w:rsidR="00716207" w:rsidRPr="0080377C" w:rsidRDefault="00716207" w:rsidP="00C705D8">
            <w:pPr>
              <w:spacing w:before="100" w:beforeAutospacing="1" w:after="100" w:afterAutospacing="1"/>
              <w:jc w:val="both"/>
              <w:rPr>
                <w:rFonts w:cstheme="minorHAnsi"/>
                <w:sz w:val="22"/>
                <w:szCs w:val="22"/>
              </w:rPr>
            </w:pPr>
            <w:r w:rsidRPr="0080377C">
              <w:rPr>
                <w:rStyle w:val="xcontentpasted0"/>
                <w:rFonts w:cstheme="minorHAnsi"/>
                <w:sz w:val="22"/>
                <w:szCs w:val="22"/>
                <w:shd w:val="clear" w:color="auto" w:fill="FFFFFF"/>
              </w:rPr>
              <w:t>Izstrādāti dzimumu līdztiesības plāni Latvijas zinātnisko institūciju reģistrā ierakstītām zinātniskajām institūcijām</w:t>
            </w:r>
          </w:p>
        </w:tc>
        <w:tc>
          <w:tcPr>
            <w:tcW w:w="1417" w:type="dxa"/>
          </w:tcPr>
          <w:p w14:paraId="486EBB7C" w14:textId="0089D767" w:rsidR="00716207" w:rsidRPr="0080377C" w:rsidRDefault="00716207" w:rsidP="00750CB9">
            <w:pPr>
              <w:spacing w:before="100" w:beforeAutospacing="1" w:after="100" w:afterAutospacing="1"/>
              <w:rPr>
                <w:rFonts w:cstheme="minorHAnsi"/>
                <w:sz w:val="22"/>
                <w:szCs w:val="22"/>
              </w:rPr>
            </w:pPr>
            <w:r w:rsidRPr="0080377C">
              <w:rPr>
                <w:rFonts w:cstheme="minorHAnsi"/>
                <w:sz w:val="22"/>
                <w:szCs w:val="22"/>
              </w:rPr>
              <w:t>IZM</w:t>
            </w:r>
          </w:p>
        </w:tc>
        <w:tc>
          <w:tcPr>
            <w:tcW w:w="1560" w:type="dxa"/>
          </w:tcPr>
          <w:p w14:paraId="5B1B70EB" w14:textId="3C5C755D" w:rsidR="00716207" w:rsidRPr="0080377C" w:rsidRDefault="00716207" w:rsidP="00750CB9">
            <w:pPr>
              <w:spacing w:before="100" w:beforeAutospacing="1" w:after="100" w:afterAutospacing="1"/>
              <w:rPr>
                <w:rFonts w:cstheme="minorHAnsi"/>
                <w:sz w:val="22"/>
                <w:szCs w:val="22"/>
              </w:rPr>
            </w:pPr>
            <w:r w:rsidRPr="0080377C">
              <w:rPr>
                <w:rFonts w:cstheme="minorHAnsi"/>
                <w:sz w:val="22"/>
                <w:szCs w:val="22"/>
              </w:rPr>
              <w:t>LM</w:t>
            </w:r>
          </w:p>
        </w:tc>
        <w:tc>
          <w:tcPr>
            <w:tcW w:w="2126" w:type="dxa"/>
          </w:tcPr>
          <w:p w14:paraId="46C7BE4A" w14:textId="14201B00" w:rsidR="00716207" w:rsidRPr="0080377C" w:rsidRDefault="005E69F1" w:rsidP="00750CB9">
            <w:pPr>
              <w:spacing w:before="100" w:beforeAutospacing="1" w:after="100" w:afterAutospacing="1"/>
              <w:rPr>
                <w:rFonts w:cstheme="minorHAnsi"/>
                <w:sz w:val="22"/>
                <w:szCs w:val="22"/>
              </w:rPr>
            </w:pPr>
            <w:r w:rsidRPr="0080377C">
              <w:rPr>
                <w:rFonts w:cstheme="minorHAnsi"/>
                <w:sz w:val="22"/>
                <w:szCs w:val="22"/>
              </w:rPr>
              <w:t>2025.gada 4.ceturksnis</w:t>
            </w:r>
          </w:p>
        </w:tc>
      </w:tr>
      <w:tr w:rsidR="00750CB9" w:rsidRPr="00BF5500" w14:paraId="578FCBE1" w14:textId="77777777" w:rsidTr="00DD0178">
        <w:tc>
          <w:tcPr>
            <w:tcW w:w="843" w:type="dxa"/>
          </w:tcPr>
          <w:p w14:paraId="0A0E49FD" w14:textId="71509D91" w:rsidR="00750CB9" w:rsidRPr="00BF5500" w:rsidRDefault="004535E6" w:rsidP="00750CB9">
            <w:pPr>
              <w:spacing w:before="100" w:beforeAutospacing="1" w:after="100" w:afterAutospacing="1"/>
              <w:rPr>
                <w:sz w:val="22"/>
                <w:szCs w:val="22"/>
              </w:rPr>
            </w:pPr>
            <w:r>
              <w:rPr>
                <w:sz w:val="22"/>
                <w:szCs w:val="22"/>
              </w:rPr>
              <w:t xml:space="preserve">6. </w:t>
            </w:r>
          </w:p>
        </w:tc>
        <w:tc>
          <w:tcPr>
            <w:tcW w:w="2129" w:type="dxa"/>
          </w:tcPr>
          <w:p w14:paraId="61391E7D" w14:textId="77777777" w:rsidR="00750CB9" w:rsidRPr="00BF5500" w:rsidRDefault="00750CB9" w:rsidP="00C705D8">
            <w:pPr>
              <w:spacing w:before="100" w:beforeAutospacing="1" w:after="100" w:afterAutospacing="1"/>
              <w:jc w:val="both"/>
              <w:rPr>
                <w:sz w:val="22"/>
                <w:szCs w:val="22"/>
              </w:rPr>
            </w:pPr>
            <w:r w:rsidRPr="00BF5500">
              <w:rPr>
                <w:sz w:val="22"/>
                <w:szCs w:val="22"/>
              </w:rPr>
              <w:t xml:space="preserve">Sieviešu un vīriešu līdzsvarotas pārstāvniecības veicināšana </w:t>
            </w:r>
          </w:p>
        </w:tc>
        <w:tc>
          <w:tcPr>
            <w:tcW w:w="2552" w:type="dxa"/>
          </w:tcPr>
          <w:p w14:paraId="6753885C" w14:textId="5049D284" w:rsidR="00750CB9" w:rsidRPr="00BF5500" w:rsidRDefault="00750CB9" w:rsidP="00C705D8">
            <w:pPr>
              <w:spacing w:before="100" w:beforeAutospacing="1" w:after="100" w:afterAutospacing="1"/>
              <w:jc w:val="both"/>
              <w:rPr>
                <w:sz w:val="22"/>
                <w:szCs w:val="22"/>
              </w:rPr>
            </w:pPr>
            <w:r w:rsidRPr="00BF5500">
              <w:rPr>
                <w:sz w:val="22"/>
                <w:szCs w:val="22"/>
              </w:rPr>
              <w:t>Nodrošināta Eiropas Parlamenta un Padomes direktīvas (ES) 2022/2381 par dzimumu līdzsvara uzlabošanu biržā kotētu uzņēmumu direktoru vidū un saistītiem pasākumiem pārņemšana</w:t>
            </w:r>
          </w:p>
        </w:tc>
        <w:tc>
          <w:tcPr>
            <w:tcW w:w="2693" w:type="dxa"/>
          </w:tcPr>
          <w:p w14:paraId="0AA3214B" w14:textId="3EA1F4CB" w:rsidR="00750CB9" w:rsidRPr="00BF5500" w:rsidRDefault="00750CB9" w:rsidP="00932E2E">
            <w:pPr>
              <w:spacing w:before="100" w:beforeAutospacing="1" w:after="100" w:afterAutospacing="1"/>
              <w:jc w:val="both"/>
              <w:rPr>
                <w:sz w:val="22"/>
                <w:szCs w:val="22"/>
              </w:rPr>
            </w:pPr>
            <w:r>
              <w:rPr>
                <w:sz w:val="22"/>
                <w:szCs w:val="22"/>
              </w:rPr>
              <w:t>Veikti</w:t>
            </w:r>
            <w:r w:rsidRPr="00F926CC">
              <w:rPr>
                <w:b/>
                <w:bCs/>
                <w:sz w:val="22"/>
                <w:szCs w:val="22"/>
              </w:rPr>
              <w:t xml:space="preserve"> grozījumi tiesību aktos</w:t>
            </w:r>
            <w:r w:rsidRPr="00BF5500">
              <w:rPr>
                <w:sz w:val="22"/>
                <w:szCs w:val="22"/>
              </w:rPr>
              <w:t xml:space="preserve"> (pēc nepieciešamības)</w:t>
            </w:r>
          </w:p>
        </w:tc>
        <w:tc>
          <w:tcPr>
            <w:tcW w:w="1417" w:type="dxa"/>
          </w:tcPr>
          <w:p w14:paraId="2F40F4FE" w14:textId="77777777" w:rsidR="00750CB9" w:rsidRPr="00BF5500" w:rsidRDefault="00750CB9" w:rsidP="00750CB9">
            <w:pPr>
              <w:spacing w:before="100" w:beforeAutospacing="1" w:after="100" w:afterAutospacing="1"/>
              <w:rPr>
                <w:sz w:val="22"/>
                <w:szCs w:val="22"/>
              </w:rPr>
            </w:pPr>
            <w:r w:rsidRPr="00BF5500">
              <w:rPr>
                <w:sz w:val="22"/>
                <w:szCs w:val="22"/>
              </w:rPr>
              <w:t>LM</w:t>
            </w:r>
          </w:p>
        </w:tc>
        <w:tc>
          <w:tcPr>
            <w:tcW w:w="1560" w:type="dxa"/>
          </w:tcPr>
          <w:p w14:paraId="6A037755" w14:textId="77777777" w:rsidR="00750CB9" w:rsidRPr="00BF5500" w:rsidRDefault="00750CB9" w:rsidP="00750CB9">
            <w:pPr>
              <w:spacing w:before="100" w:beforeAutospacing="1" w:after="100" w:afterAutospacing="1"/>
              <w:rPr>
                <w:sz w:val="22"/>
                <w:szCs w:val="22"/>
              </w:rPr>
            </w:pPr>
            <w:r w:rsidRPr="00BF5500">
              <w:rPr>
                <w:sz w:val="22"/>
                <w:szCs w:val="22"/>
              </w:rPr>
              <w:t>FM, EM, TM, VK, NVO</w:t>
            </w:r>
          </w:p>
        </w:tc>
        <w:tc>
          <w:tcPr>
            <w:tcW w:w="2126" w:type="dxa"/>
          </w:tcPr>
          <w:p w14:paraId="2205E786" w14:textId="77777777" w:rsidR="00750CB9" w:rsidRPr="00BF5500" w:rsidRDefault="00750CB9" w:rsidP="00750CB9">
            <w:pPr>
              <w:spacing w:before="100" w:beforeAutospacing="1" w:after="100" w:afterAutospacing="1"/>
              <w:rPr>
                <w:sz w:val="22"/>
                <w:szCs w:val="22"/>
              </w:rPr>
            </w:pPr>
            <w:r w:rsidRPr="00BF5500">
              <w:rPr>
                <w:sz w:val="22"/>
                <w:szCs w:val="22"/>
              </w:rPr>
              <w:t>2024. gada 4. ceturksnis</w:t>
            </w:r>
          </w:p>
        </w:tc>
      </w:tr>
      <w:tr w:rsidR="00750CB9" w:rsidRPr="00BF5500" w14:paraId="3871BDD0" w14:textId="77777777" w:rsidTr="00DD0178">
        <w:tc>
          <w:tcPr>
            <w:tcW w:w="843" w:type="dxa"/>
          </w:tcPr>
          <w:p w14:paraId="65590554" w14:textId="6638D953" w:rsidR="00750CB9" w:rsidRPr="00D647ED" w:rsidRDefault="004535E6" w:rsidP="00750CB9">
            <w:pPr>
              <w:spacing w:before="100" w:beforeAutospacing="1" w:after="100" w:afterAutospacing="1"/>
              <w:rPr>
                <w:sz w:val="22"/>
                <w:szCs w:val="22"/>
              </w:rPr>
            </w:pPr>
            <w:r w:rsidRPr="00D647ED">
              <w:rPr>
                <w:sz w:val="22"/>
                <w:szCs w:val="22"/>
              </w:rPr>
              <w:t>7.</w:t>
            </w:r>
          </w:p>
        </w:tc>
        <w:tc>
          <w:tcPr>
            <w:tcW w:w="2129" w:type="dxa"/>
          </w:tcPr>
          <w:p w14:paraId="232E52AA" w14:textId="77777777" w:rsidR="00750CB9" w:rsidRPr="00D647ED" w:rsidRDefault="00750CB9" w:rsidP="00836C10">
            <w:pPr>
              <w:spacing w:before="100" w:beforeAutospacing="1" w:after="100" w:afterAutospacing="1"/>
              <w:rPr>
                <w:sz w:val="22"/>
                <w:szCs w:val="22"/>
              </w:rPr>
            </w:pPr>
            <w:r w:rsidRPr="00D647ED">
              <w:rPr>
                <w:sz w:val="22"/>
                <w:szCs w:val="22"/>
              </w:rPr>
              <w:t>Bezmaksas higiēnas preču pieejamības nodrošināšanas mehānisma izveide, lai novērstu menstruālo nabadzību</w:t>
            </w:r>
          </w:p>
        </w:tc>
        <w:tc>
          <w:tcPr>
            <w:tcW w:w="2552" w:type="dxa"/>
          </w:tcPr>
          <w:p w14:paraId="432613DB" w14:textId="746BFE72" w:rsidR="00750CB9" w:rsidRPr="00D647ED" w:rsidRDefault="00750CB9" w:rsidP="00836C10">
            <w:pPr>
              <w:spacing w:before="100" w:beforeAutospacing="1" w:after="100" w:afterAutospacing="1"/>
              <w:rPr>
                <w:sz w:val="22"/>
                <w:szCs w:val="22"/>
              </w:rPr>
            </w:pPr>
            <w:r w:rsidRPr="00D647ED">
              <w:rPr>
                <w:sz w:val="22"/>
                <w:szCs w:val="22"/>
              </w:rPr>
              <w:t xml:space="preserve">Novērsti šķēršļi meitenēm iekļauties izglītībā higiēnas preču nepieejamības dēļ </w:t>
            </w:r>
          </w:p>
        </w:tc>
        <w:tc>
          <w:tcPr>
            <w:tcW w:w="2693" w:type="dxa"/>
          </w:tcPr>
          <w:p w14:paraId="26D49911" w14:textId="2B5C05C3" w:rsidR="00750CB9" w:rsidRPr="00D647ED" w:rsidRDefault="00750CB9" w:rsidP="00836C10">
            <w:pPr>
              <w:spacing w:before="100" w:beforeAutospacing="1" w:after="100" w:afterAutospacing="1"/>
              <w:rPr>
                <w:sz w:val="22"/>
                <w:szCs w:val="22"/>
              </w:rPr>
            </w:pPr>
            <w:r w:rsidRPr="00F926CC">
              <w:rPr>
                <w:b/>
                <w:bCs/>
                <w:sz w:val="22"/>
                <w:szCs w:val="22"/>
              </w:rPr>
              <w:t>Izveidots mehānisms higiēnas preču nodrošināšanai</w:t>
            </w:r>
            <w:r w:rsidRPr="00D647ED">
              <w:rPr>
                <w:sz w:val="22"/>
                <w:szCs w:val="22"/>
              </w:rPr>
              <w:t xml:space="preserve"> meitenēm izglītības iestādēs</w:t>
            </w:r>
          </w:p>
        </w:tc>
        <w:tc>
          <w:tcPr>
            <w:tcW w:w="1417" w:type="dxa"/>
          </w:tcPr>
          <w:p w14:paraId="4500F937" w14:textId="77777777" w:rsidR="00750CB9" w:rsidRPr="00D647ED" w:rsidRDefault="00750CB9" w:rsidP="00750CB9">
            <w:pPr>
              <w:spacing w:before="100" w:beforeAutospacing="1" w:after="100" w:afterAutospacing="1"/>
              <w:rPr>
                <w:sz w:val="22"/>
                <w:szCs w:val="22"/>
              </w:rPr>
            </w:pPr>
            <w:r w:rsidRPr="00D647ED">
              <w:rPr>
                <w:sz w:val="22"/>
                <w:szCs w:val="22"/>
              </w:rPr>
              <w:t>LM/IZM/VM</w:t>
            </w:r>
          </w:p>
        </w:tc>
        <w:tc>
          <w:tcPr>
            <w:tcW w:w="1560" w:type="dxa"/>
          </w:tcPr>
          <w:p w14:paraId="51659D3A" w14:textId="77777777" w:rsidR="00750CB9" w:rsidRPr="00D647ED" w:rsidRDefault="00750CB9" w:rsidP="00750CB9">
            <w:pPr>
              <w:spacing w:before="100" w:beforeAutospacing="1" w:after="100" w:afterAutospacing="1"/>
              <w:rPr>
                <w:sz w:val="22"/>
                <w:szCs w:val="22"/>
              </w:rPr>
            </w:pPr>
            <w:r w:rsidRPr="00D647ED">
              <w:rPr>
                <w:sz w:val="22"/>
                <w:szCs w:val="22"/>
              </w:rPr>
              <w:t>Pašvaldības, NVO</w:t>
            </w:r>
          </w:p>
        </w:tc>
        <w:tc>
          <w:tcPr>
            <w:tcW w:w="2126" w:type="dxa"/>
          </w:tcPr>
          <w:p w14:paraId="424DA9A4" w14:textId="2DF62D3B" w:rsidR="00750CB9" w:rsidRPr="00D647ED" w:rsidRDefault="001D03BE" w:rsidP="00750CB9">
            <w:pPr>
              <w:spacing w:before="100" w:beforeAutospacing="1" w:after="100" w:afterAutospacing="1"/>
              <w:rPr>
                <w:sz w:val="22"/>
                <w:szCs w:val="22"/>
              </w:rPr>
            </w:pPr>
            <w:r w:rsidRPr="00D647ED">
              <w:rPr>
                <w:sz w:val="22"/>
                <w:szCs w:val="22"/>
              </w:rPr>
              <w:t>2025.gada 1.ceturksnis</w:t>
            </w:r>
          </w:p>
        </w:tc>
      </w:tr>
      <w:tr w:rsidR="00750CB9" w:rsidRPr="00BF5500" w14:paraId="39154782" w14:textId="77777777" w:rsidTr="00DD0178">
        <w:tc>
          <w:tcPr>
            <w:tcW w:w="843" w:type="dxa"/>
          </w:tcPr>
          <w:p w14:paraId="06A31687" w14:textId="5831EF5F" w:rsidR="00750CB9" w:rsidRPr="00D647ED" w:rsidRDefault="004535E6" w:rsidP="00750CB9">
            <w:pPr>
              <w:spacing w:before="100" w:beforeAutospacing="1" w:after="100" w:afterAutospacing="1"/>
              <w:rPr>
                <w:sz w:val="22"/>
                <w:szCs w:val="22"/>
              </w:rPr>
            </w:pPr>
            <w:r w:rsidRPr="00D647ED">
              <w:rPr>
                <w:sz w:val="22"/>
                <w:szCs w:val="22"/>
              </w:rPr>
              <w:t xml:space="preserve">8. </w:t>
            </w:r>
          </w:p>
        </w:tc>
        <w:tc>
          <w:tcPr>
            <w:tcW w:w="2129" w:type="dxa"/>
          </w:tcPr>
          <w:p w14:paraId="39A3E301" w14:textId="3AFA81E3" w:rsidR="00750CB9" w:rsidRPr="00D647ED" w:rsidRDefault="00750CB9" w:rsidP="00836C10">
            <w:pPr>
              <w:spacing w:before="100" w:beforeAutospacing="1" w:after="100" w:afterAutospacing="1"/>
              <w:rPr>
                <w:sz w:val="22"/>
                <w:szCs w:val="22"/>
              </w:rPr>
            </w:pPr>
            <w:r w:rsidRPr="00D647ED">
              <w:rPr>
                <w:sz w:val="22"/>
                <w:szCs w:val="22"/>
              </w:rPr>
              <w:t>Darba un privātās dzīves līdzsvara veicināšana</w:t>
            </w:r>
          </w:p>
        </w:tc>
        <w:tc>
          <w:tcPr>
            <w:tcW w:w="2552" w:type="dxa"/>
          </w:tcPr>
          <w:p w14:paraId="5F486C69" w14:textId="240A967A" w:rsidR="00750CB9" w:rsidRPr="00D647ED" w:rsidRDefault="00750CB9" w:rsidP="00836C10">
            <w:pPr>
              <w:spacing w:before="100" w:beforeAutospacing="1" w:after="100" w:afterAutospacing="1"/>
              <w:jc w:val="both"/>
              <w:rPr>
                <w:sz w:val="22"/>
                <w:szCs w:val="22"/>
              </w:rPr>
            </w:pPr>
            <w:r w:rsidRPr="00A73111">
              <w:rPr>
                <w:sz w:val="22"/>
                <w:szCs w:val="22"/>
              </w:rPr>
              <w:t>Īstenoti pasākumi darba un ģimenes dzīves līdzsvarošanai un tēva lomas stiprināšanai</w:t>
            </w:r>
          </w:p>
        </w:tc>
        <w:tc>
          <w:tcPr>
            <w:tcW w:w="2693" w:type="dxa"/>
          </w:tcPr>
          <w:p w14:paraId="7873EA2F" w14:textId="7A3B879B" w:rsidR="00750CB9" w:rsidRPr="00D647ED" w:rsidRDefault="00750CB9" w:rsidP="00836C10">
            <w:pPr>
              <w:spacing w:before="100" w:beforeAutospacing="1" w:after="100" w:afterAutospacing="1"/>
              <w:jc w:val="both"/>
              <w:rPr>
                <w:sz w:val="22"/>
                <w:szCs w:val="22"/>
              </w:rPr>
            </w:pPr>
            <w:r w:rsidRPr="00A73111">
              <w:rPr>
                <w:b/>
                <w:bCs/>
                <w:sz w:val="22"/>
                <w:szCs w:val="22"/>
              </w:rPr>
              <w:t>Izveidoti informatīvi materiāli</w:t>
            </w:r>
            <w:r w:rsidRPr="00A73111">
              <w:rPr>
                <w:sz w:val="22"/>
                <w:szCs w:val="22"/>
              </w:rPr>
              <w:t xml:space="preserve"> par tēva lomas nozīmi darba un privātās dzīves līdzsvara veicināšanā</w:t>
            </w:r>
            <w:r w:rsidRPr="00A73111">
              <w:rPr>
                <w:rStyle w:val="FootnoteReference"/>
                <w:sz w:val="22"/>
                <w:szCs w:val="22"/>
              </w:rPr>
              <w:footnoteReference w:id="27"/>
            </w:r>
          </w:p>
        </w:tc>
        <w:tc>
          <w:tcPr>
            <w:tcW w:w="1417" w:type="dxa"/>
          </w:tcPr>
          <w:p w14:paraId="11EBF873" w14:textId="7027AE49" w:rsidR="00750CB9" w:rsidRPr="00D647ED" w:rsidRDefault="00750CB9" w:rsidP="00750CB9">
            <w:pPr>
              <w:spacing w:before="100" w:beforeAutospacing="1" w:after="100" w:afterAutospacing="1"/>
              <w:rPr>
                <w:sz w:val="22"/>
                <w:szCs w:val="22"/>
              </w:rPr>
            </w:pPr>
            <w:r w:rsidRPr="00D647ED">
              <w:rPr>
                <w:sz w:val="22"/>
                <w:szCs w:val="22"/>
              </w:rPr>
              <w:t>LM</w:t>
            </w:r>
          </w:p>
        </w:tc>
        <w:tc>
          <w:tcPr>
            <w:tcW w:w="1560" w:type="dxa"/>
          </w:tcPr>
          <w:p w14:paraId="24A7127F" w14:textId="77777777" w:rsidR="00750CB9" w:rsidRPr="00D647ED" w:rsidRDefault="00750CB9" w:rsidP="00750CB9">
            <w:pPr>
              <w:spacing w:before="100" w:beforeAutospacing="1" w:after="100" w:afterAutospacing="1"/>
              <w:rPr>
                <w:sz w:val="22"/>
                <w:szCs w:val="22"/>
              </w:rPr>
            </w:pPr>
          </w:p>
        </w:tc>
        <w:tc>
          <w:tcPr>
            <w:tcW w:w="2126" w:type="dxa"/>
          </w:tcPr>
          <w:p w14:paraId="387D46E3" w14:textId="6A2FCD16" w:rsidR="00750CB9" w:rsidRPr="00D647ED" w:rsidRDefault="00750CB9" w:rsidP="00750CB9">
            <w:pPr>
              <w:spacing w:before="100" w:beforeAutospacing="1" w:after="100" w:afterAutospacing="1"/>
              <w:rPr>
                <w:sz w:val="22"/>
                <w:szCs w:val="22"/>
              </w:rPr>
            </w:pPr>
            <w:r w:rsidRPr="00D647ED">
              <w:rPr>
                <w:sz w:val="22"/>
                <w:szCs w:val="22"/>
              </w:rPr>
              <w:t>2027. gada 4. ceturksnis</w:t>
            </w:r>
          </w:p>
        </w:tc>
      </w:tr>
    </w:tbl>
    <w:p w14:paraId="410559F5" w14:textId="0558D896" w:rsidR="00EA67CC" w:rsidRDefault="00EA67CC" w:rsidP="00EA67CC">
      <w:pPr>
        <w:pStyle w:val="ListParagraph"/>
        <w:spacing w:before="100" w:beforeAutospacing="1" w:after="100" w:afterAutospacing="1" w:line="259" w:lineRule="auto"/>
        <w:ind w:left="360"/>
        <w:rPr>
          <w:b/>
          <w:bCs/>
          <w:sz w:val="22"/>
          <w:szCs w:val="22"/>
        </w:rPr>
      </w:pPr>
    </w:p>
    <w:p w14:paraId="3C799808" w14:textId="1FCA44D3" w:rsidR="00EA67CC" w:rsidRDefault="00EA67CC" w:rsidP="00EA67CC">
      <w:pPr>
        <w:pStyle w:val="ListParagraph"/>
        <w:spacing w:before="100" w:beforeAutospacing="1" w:after="100" w:afterAutospacing="1" w:line="259" w:lineRule="auto"/>
        <w:ind w:left="360"/>
        <w:rPr>
          <w:b/>
          <w:bCs/>
          <w:sz w:val="22"/>
          <w:szCs w:val="22"/>
        </w:rPr>
      </w:pPr>
    </w:p>
    <w:p w14:paraId="2DBF04EE" w14:textId="77777777" w:rsidR="00EA67CC" w:rsidRDefault="00EA67CC" w:rsidP="00EA67CC">
      <w:pPr>
        <w:pStyle w:val="ListParagraph"/>
        <w:spacing w:before="100" w:beforeAutospacing="1" w:after="100" w:afterAutospacing="1" w:line="259" w:lineRule="auto"/>
        <w:ind w:left="360"/>
        <w:rPr>
          <w:b/>
          <w:bCs/>
          <w:sz w:val="22"/>
          <w:szCs w:val="22"/>
        </w:rPr>
      </w:pPr>
    </w:p>
    <w:p w14:paraId="7E8BA81B" w14:textId="5AA6833B" w:rsidR="00BF5500" w:rsidRPr="00065FF1" w:rsidRDefault="007C2047" w:rsidP="00D71DF6">
      <w:pPr>
        <w:pStyle w:val="ListParagraph"/>
        <w:numPr>
          <w:ilvl w:val="0"/>
          <w:numId w:val="2"/>
        </w:numPr>
        <w:spacing w:before="100" w:beforeAutospacing="1" w:after="100" w:afterAutospacing="1" w:line="259" w:lineRule="auto"/>
        <w:rPr>
          <w:b/>
          <w:bCs/>
        </w:rPr>
      </w:pPr>
      <w:r w:rsidRPr="00065FF1">
        <w:rPr>
          <w:b/>
          <w:bCs/>
        </w:rPr>
        <w:lastRenderedPageBreak/>
        <w:t xml:space="preserve">Rīcības </w:t>
      </w:r>
      <w:r w:rsidR="00BF5500" w:rsidRPr="00065FF1">
        <w:rPr>
          <w:b/>
          <w:bCs/>
        </w:rPr>
        <w:t>virziens: Ar dzimumu saistītu negatīvu stereotipu mazināšana</w:t>
      </w:r>
    </w:p>
    <w:p w14:paraId="1EFAB64D" w14:textId="50C17958" w:rsidR="00D71DF6" w:rsidRPr="00287F1D" w:rsidRDefault="008E713A" w:rsidP="00DC72BB">
      <w:pPr>
        <w:spacing w:before="120" w:after="120" w:line="264" w:lineRule="auto"/>
        <w:jc w:val="both"/>
      </w:pPr>
      <w:r w:rsidRPr="00287F1D">
        <w:t>Ar dzimumu saistīti stereotipi ir aizspriedumi, kuros sievietēm un vīriešiem tiek patvaļīgi piedēvētas īpašības un lomas, ko nosaka un ierobežo viņu dzimums.</w:t>
      </w:r>
      <w:r w:rsidR="00487B08" w:rsidRPr="00287F1D">
        <w:t xml:space="preserve"> Šie stereotipi var negatīvi ietekmēt personu iespējas un tiesības dažādās dzīves jomās, kā arī vīriešu un sieviešu līdztiesības līmeni sabiedrībā kopumā.</w:t>
      </w:r>
      <w:r w:rsidR="00333031" w:rsidRPr="00287F1D">
        <w:t xml:space="preserve"> Kā liecina 2022. gada pētījuma “Novatore Baltijas dzimumu līdztiesības barometrs 2022”</w:t>
      </w:r>
      <w:r w:rsidR="00465A8F" w:rsidRPr="00287F1D">
        <w:t>, ko sadarbībā ar organizāciju “Novatore” veica pētījumu aģentūra “Forta Research” un tirgus izpētes datu vācējs “Norstat”</w:t>
      </w:r>
      <w:r w:rsidR="00465A8F" w:rsidRPr="00287F1D">
        <w:rPr>
          <w:rStyle w:val="FootnoteReference"/>
        </w:rPr>
        <w:footnoteReference w:id="28"/>
      </w:r>
      <w:r w:rsidR="00465A8F" w:rsidRPr="00287F1D">
        <w:t xml:space="preserve">, </w:t>
      </w:r>
      <w:r w:rsidR="008261EF" w:rsidRPr="00287F1D">
        <w:t xml:space="preserve"> dzimumu stereotipi sabiedrībā joprojām ir plaši izplatīti – tā, piemēram, 41% respondentu uzsvēra, ka sievietēm ir jāvelta vairāk laika bērnu audzināšanai nekā vīriešiem. Savukārt 33% domā, ka sievietes galvenā loma ir rūpēties par mājokli un ģimeni. Apmēram trešā daļa (31%) atbildētāju uzskata, ka vīriešiem ir spēcīgāka loģiskā domāšana nekā sievietēm, bet</w:t>
      </w:r>
      <w:r w:rsidR="00FE16C2" w:rsidRPr="00287F1D">
        <w:t xml:space="preserve"> </w:t>
      </w:r>
      <w:r w:rsidR="008261EF" w:rsidRPr="00287F1D">
        <w:t>30% secina, ka vīrieša galvenā loma ir pelnīt naudu. Tāpat 29% norāda, ka vīrietim ir jāpelna vairāk nekā sievietei.</w:t>
      </w:r>
    </w:p>
    <w:p w14:paraId="2959154A" w14:textId="7889E2AF" w:rsidR="00BD5D56" w:rsidRPr="00287F1D" w:rsidRDefault="00530650" w:rsidP="00DC72BB">
      <w:pPr>
        <w:spacing w:before="120" w:after="120" w:line="264" w:lineRule="auto"/>
        <w:jc w:val="both"/>
      </w:pPr>
      <w:r w:rsidRPr="00287F1D">
        <w:t>D</w:t>
      </w:r>
      <w:r w:rsidR="00BD5D56" w:rsidRPr="00287F1D">
        <w:t>ažādi aizspriedumi par vīriešu un sieviešu lomām sabiedrībā var veicināt nevienlīdzību tādās jomās kā veselība,</w:t>
      </w:r>
      <w:r w:rsidR="00F60342" w:rsidRPr="00287F1D">
        <w:t xml:space="preserve"> sports un kultūra,</w:t>
      </w:r>
      <w:r w:rsidR="00BD5D56" w:rsidRPr="00287F1D">
        <w:t xml:space="preserve"> </w:t>
      </w:r>
      <w:r w:rsidR="000E7369" w:rsidRPr="00287F1D">
        <w:t xml:space="preserve">aprūpe, kā arī tie var veicināt ar dzimumu saistītas vardarbības izplatību. </w:t>
      </w:r>
      <w:r w:rsidR="000E617E" w:rsidRPr="00287F1D">
        <w:t>Latvijā veselības jomā ir vērojama izteikta atšķirība starp vīriešiem un sievietēm</w:t>
      </w:r>
      <w:r w:rsidR="009545DB" w:rsidRPr="00287F1D">
        <w:t xml:space="preserve"> –  vīriešiem ir zemāks paredzamais mūža ilgums, kas ir saistīts gan ar veselību ietekmējošiem paradumiem, gan rīcību, ko ietekmē dzimumu stereotipi.</w:t>
      </w:r>
      <w:r w:rsidR="00D438F9" w:rsidRPr="00287F1D">
        <w:t xml:space="preserve"> 2021. gadā Latvijā vīriešiem</w:t>
      </w:r>
      <w:r w:rsidR="001D07A1" w:rsidRPr="00287F1D">
        <w:t xml:space="preserve"> veselīgie dzīves gadi bija 52.2 gadi, bet sievietēm 55.4 gadi.</w:t>
      </w:r>
      <w:r w:rsidR="003E13BB" w:rsidRPr="00287F1D">
        <w:rPr>
          <w:rStyle w:val="FootnoteReference"/>
        </w:rPr>
        <w:footnoteReference w:id="29"/>
      </w:r>
      <w:r w:rsidR="00214F50" w:rsidRPr="00287F1D">
        <w:t xml:space="preserve"> Šo atšķirību ietekmē vairāki faktori: pirmkārt, vīriešu vidū izplatītāki ir negatīvi veselību ietekmējoši paradumi. 2022. gadā 30.6 % vīriešu un 9.8% sieviešu vecumā no 16 gadiem Latvijā bija ikdienas smēķētāji</w:t>
      </w:r>
      <w:r w:rsidR="00671B33" w:rsidRPr="00287F1D">
        <w:t>.</w:t>
      </w:r>
      <w:r w:rsidR="003E13BB" w:rsidRPr="00287F1D">
        <w:rPr>
          <w:rStyle w:val="FootnoteReference"/>
        </w:rPr>
        <w:footnoteReference w:id="30"/>
      </w:r>
      <w:r w:rsidR="003E13BB" w:rsidRPr="00287F1D">
        <w:t xml:space="preserve"> Otrkārt, </w:t>
      </w:r>
      <w:r w:rsidR="00302A83" w:rsidRPr="00287F1D">
        <w:t xml:space="preserve">vīrieši daudz biežāk iet bojā no ārējiem nāves cēloņiem. No visiem transporta nelaimes gadījumos </w:t>
      </w:r>
      <w:r w:rsidR="00396C6D" w:rsidRPr="00287F1D">
        <w:t>bojā gājušajiem 2022. gadā 75.4% bija vīrieši. Tāpat arī tīšs paškaitējums vīriešu vidū ir izplatītāks nekā sieviešu (attiecīgi 83.5% un 16.5%)</w:t>
      </w:r>
      <w:r w:rsidR="00B74EFC" w:rsidRPr="00287F1D">
        <w:rPr>
          <w:rStyle w:val="FootnoteReference"/>
        </w:rPr>
        <w:footnoteReference w:id="31"/>
      </w:r>
      <w:r w:rsidR="00396C6D" w:rsidRPr="00287F1D">
        <w:t xml:space="preserve">. </w:t>
      </w:r>
      <w:r w:rsidR="00B74EFC" w:rsidRPr="00287F1D">
        <w:t>Treškārt, vīrieši retāk nekā sievietes vēršas pēc palīdzības pie veselības speciālistiem. 2022. gadā 70.3% vīriešu un 83% sieviešu bija apmeklējuši ģimenes ārstu vismaz reizi.</w:t>
      </w:r>
      <w:r w:rsidR="00B74EFC" w:rsidRPr="00287F1D">
        <w:rPr>
          <w:rStyle w:val="FootnoteReference"/>
        </w:rPr>
        <w:footnoteReference w:id="32"/>
      </w:r>
      <w:r w:rsidR="005554F7" w:rsidRPr="00287F1D">
        <w:t xml:space="preserve"> Ņemot vērā šīs atšķirības, ir būtiski veicināt vīriešu un sieviešu specifiskās zināšanas par </w:t>
      </w:r>
      <w:r w:rsidR="00AF4A61" w:rsidRPr="00287F1D">
        <w:t>veselības jautājumiem</w:t>
      </w:r>
      <w:r w:rsidR="00AE55FF">
        <w:t xml:space="preserve">. </w:t>
      </w:r>
      <w:r w:rsidR="00AF4A61" w:rsidRPr="00287F1D">
        <w:t xml:space="preserve">Tāpat ir nepieciešams </w:t>
      </w:r>
      <w:r w:rsidR="00B74145" w:rsidRPr="00287F1D">
        <w:t>mazināt</w:t>
      </w:r>
      <w:r w:rsidR="00AF4A61" w:rsidRPr="00287F1D">
        <w:t xml:space="preserve"> vīriešu un zēnu stereotipus par</w:t>
      </w:r>
      <w:r w:rsidR="00077026" w:rsidRPr="00287F1D">
        <w:t xml:space="preserve"> rūpēm kopumā kā nevīrišķīgu konceptu, kā arī</w:t>
      </w:r>
      <w:r w:rsidR="00AF4A61" w:rsidRPr="00287F1D">
        <w:t xml:space="preserve"> rūpēm par savu veselību – īpaši </w:t>
      </w:r>
      <w:r w:rsidR="00256170" w:rsidRPr="00287F1D">
        <w:t>vīriešu un zēnu psihoemocionālo labklājību.</w:t>
      </w:r>
    </w:p>
    <w:p w14:paraId="13F14DE8" w14:textId="5F106833" w:rsidR="00B74145" w:rsidRPr="00287F1D" w:rsidRDefault="00B74145" w:rsidP="00DC72BB">
      <w:pPr>
        <w:spacing w:before="120" w:after="120" w:line="264" w:lineRule="auto"/>
        <w:jc w:val="both"/>
      </w:pPr>
      <w:r w:rsidRPr="00287F1D">
        <w:t xml:space="preserve">Ar dzimumu saistītiem stereotipiem ir nozīmīga loma vardarbības ģimenē un ar dzimumu saistītas vardarbības izplatībā un prevencijā. </w:t>
      </w:r>
      <w:r w:rsidR="00737E70" w:rsidRPr="00287F1D">
        <w:t xml:space="preserve">Kā liecina CSP veiktā apsekojuma “Vardarbības izplatība Latvijā 2021” dati – katra ceturtā sieviete un katrs piektais vīrietis 18-47 gadu vecumā ir pieredzējuši fizisku </w:t>
      </w:r>
      <w:r w:rsidR="00737E70" w:rsidRPr="00287F1D">
        <w:lastRenderedPageBreak/>
        <w:t>vai seksuālu vardarbību.</w:t>
      </w:r>
      <w:r w:rsidR="0052403C" w:rsidRPr="00287F1D">
        <w:rPr>
          <w:rStyle w:val="FootnoteReference"/>
        </w:rPr>
        <w:footnoteReference w:id="33"/>
      </w:r>
      <w:r w:rsidR="000449BA" w:rsidRPr="00287F1D">
        <w:t xml:space="preserve"> </w:t>
      </w:r>
      <w:r w:rsidR="00077026" w:rsidRPr="00287F1D">
        <w:t xml:space="preserve">Tāpat veiktās aptaujas dati liecina, ka </w:t>
      </w:r>
      <w:r w:rsidR="002A217B" w:rsidRPr="00287F1D">
        <w:t>28.8% sieviešu ir pieredzējušas psiholoģisko vardarbību no sava intīmā partnera</w:t>
      </w:r>
      <w:r w:rsidR="000948BC" w:rsidRPr="00287F1D">
        <w:t>, savukārt 15.4% si</w:t>
      </w:r>
      <w:r w:rsidR="00644BAB" w:rsidRPr="00287F1D">
        <w:t>e</w:t>
      </w:r>
      <w:r w:rsidR="000948BC" w:rsidRPr="00287F1D">
        <w:t xml:space="preserve">viešu ir pieredzējušas fizisko vardarbību. Kopumā no vienas vai vairākām vardarbības formām ir cietusi katra trešā (30.1%) sieviete attiecībās. </w:t>
      </w:r>
      <w:r w:rsidR="00E2751E" w:rsidRPr="00287F1D">
        <w:t xml:space="preserve">Lai īstenotu visaptverošus pasākumus </w:t>
      </w:r>
      <w:r w:rsidR="000948BC" w:rsidRPr="00287F1D">
        <w:t>vardarbīb</w:t>
      </w:r>
      <w:r w:rsidR="00E2751E" w:rsidRPr="00287F1D">
        <w:t xml:space="preserve">as </w:t>
      </w:r>
      <w:r w:rsidR="000948BC" w:rsidRPr="00287F1D">
        <w:t>pret sievietēm un vardarbīb</w:t>
      </w:r>
      <w:r w:rsidR="005D0AEE">
        <w:t>as</w:t>
      </w:r>
      <w:r w:rsidR="000948BC" w:rsidRPr="00287F1D">
        <w:t xml:space="preserve"> ģimenē </w:t>
      </w:r>
      <w:r w:rsidR="00E2751E" w:rsidRPr="00287F1D">
        <w:t xml:space="preserve">novēršanai, </w:t>
      </w:r>
      <w:r w:rsidR="000948BC" w:rsidRPr="00287F1D">
        <w:t xml:space="preserve">Labklājības ministrija </w:t>
      </w:r>
      <w:r w:rsidR="00E9320A" w:rsidRPr="00287F1D">
        <w:t xml:space="preserve">kopā ar </w:t>
      </w:r>
      <w:r w:rsidR="00E2751E" w:rsidRPr="00287F1D">
        <w:t xml:space="preserve">citām </w:t>
      </w:r>
      <w:r w:rsidR="00E9320A" w:rsidRPr="00287F1D">
        <w:t xml:space="preserve">atbildīgajām institūcijām </w:t>
      </w:r>
      <w:r w:rsidR="00E2751E" w:rsidRPr="00287F1D">
        <w:t xml:space="preserve">izstrādā </w:t>
      </w:r>
      <w:r w:rsidR="007F6AA8" w:rsidRPr="00287F1D">
        <w:t xml:space="preserve">Plānu vardarbības pret sievietēm un vardarbības ģimenē novēršanai un apkarošanai 2024.-2029. gadam, kas ietvers arī dažādus </w:t>
      </w:r>
      <w:r w:rsidR="003C6509" w:rsidRPr="00287F1D">
        <w:t xml:space="preserve">vardarbības </w:t>
      </w:r>
      <w:r w:rsidR="007F6AA8" w:rsidRPr="00287F1D">
        <w:t xml:space="preserve">prevencijas pasākumus. Vienlaikus ir būtiski </w:t>
      </w:r>
      <w:r w:rsidR="00B9133C" w:rsidRPr="00287F1D">
        <w:t>domāt arī par vardarbības novēršanas pasākumiem jauniešiem, kas</w:t>
      </w:r>
      <w:r w:rsidR="003C6509" w:rsidRPr="00287F1D">
        <w:t xml:space="preserve"> īpaši</w:t>
      </w:r>
      <w:r w:rsidR="00B9133C" w:rsidRPr="00287F1D">
        <w:t xml:space="preserve"> uzsver saikni starp dzimumu stereotipiem un to negatīvo ietekmi uz personu savstarpējām attiecībām, kā arī par cieņpilnu attiecību veidošanu un veiksmīgu konflikta situāciju novēršanu</w:t>
      </w:r>
      <w:r w:rsidR="003C6509" w:rsidRPr="00287F1D">
        <w:t>, kas balstās vīriešu un sieviešu līdztiesības izpratnē.</w:t>
      </w:r>
      <w:r w:rsidR="008837CE" w:rsidRPr="00287F1D">
        <w:t xml:space="preserve"> Tāpat ir nepieciešams veicināt ar dzimumu saistītu stereotipu izpratnes un vardarbības prevencijas nozīmi dažādās citās nozarēs,</w:t>
      </w:r>
      <w:r w:rsidR="00A04109" w:rsidRPr="00287F1D">
        <w:t xml:space="preserve"> kā, piemēram, sportā, lai stiprinātu </w:t>
      </w:r>
      <w:r w:rsidR="005F6268" w:rsidRPr="00287F1D">
        <w:t>drošu un iekļaujošu vidi</w:t>
      </w:r>
      <w:r w:rsidR="000A57B1" w:rsidRPr="00287F1D">
        <w:t>, kā arī veicinātu plašāku meiteņu un sieviešu iesaisti.</w:t>
      </w:r>
    </w:p>
    <w:p w14:paraId="51FB3F81" w14:textId="15ED9ABD" w:rsidR="00FC5B15" w:rsidRPr="00287F1D" w:rsidRDefault="00FC5B15" w:rsidP="00DC72BB">
      <w:pPr>
        <w:spacing w:before="120" w:after="120" w:line="264" w:lineRule="auto"/>
        <w:jc w:val="both"/>
      </w:pPr>
      <w:r w:rsidRPr="00287F1D">
        <w:t>Lai mazinātu ar dzimumu saistīto stereotipu</w:t>
      </w:r>
      <w:r w:rsidR="00B354B2" w:rsidRPr="00287F1D">
        <w:t xml:space="preserve"> izplatību </w:t>
      </w:r>
      <w:r w:rsidR="00022154" w:rsidRPr="00287F1D">
        <w:t xml:space="preserve">sabiedrībā, kā arī veicinātu izpratni par vīriešu un sieviešu </w:t>
      </w:r>
      <w:r w:rsidR="00B80F8D">
        <w:t>līdztiesību</w:t>
      </w:r>
      <w:r w:rsidR="00022154" w:rsidRPr="00287F1D">
        <w:t xml:space="preserve">, ir nepieciešams </w:t>
      </w:r>
      <w:r w:rsidR="00BD5D56" w:rsidRPr="00287F1D">
        <w:t>aktīvi iesaistīt vīriešus un zēnus diskusijā par šiem jautājumiem.</w:t>
      </w:r>
      <w:r w:rsidR="005E11A5" w:rsidRPr="00287F1D">
        <w:t xml:space="preserve"> </w:t>
      </w:r>
      <w:r w:rsidR="009A4322" w:rsidRPr="00287F1D">
        <w:t xml:space="preserve">Iesaistot </w:t>
      </w:r>
      <w:r w:rsidR="000A5134" w:rsidRPr="00287F1D">
        <w:t>z</w:t>
      </w:r>
      <w:r w:rsidR="005E11A5" w:rsidRPr="00287F1D">
        <w:t>ēnu</w:t>
      </w:r>
      <w:r w:rsidR="000A5134" w:rsidRPr="00287F1D">
        <w:t xml:space="preserve">s </w:t>
      </w:r>
      <w:r w:rsidR="005E11A5" w:rsidRPr="00287F1D">
        <w:t>un vīriešu</w:t>
      </w:r>
      <w:r w:rsidR="000A5134" w:rsidRPr="00287F1D">
        <w:t xml:space="preserve">s </w:t>
      </w:r>
      <w:r w:rsidR="005E11A5" w:rsidRPr="00287F1D">
        <w:t>vienlīdzīgu tiesību un iespēju diskusi</w:t>
      </w:r>
      <w:r w:rsidR="00D401DC" w:rsidRPr="00287F1D">
        <w:t xml:space="preserve">jā </w:t>
      </w:r>
      <w:r w:rsidR="005E11A5" w:rsidRPr="00287F1D">
        <w:t>nepie</w:t>
      </w:r>
      <w:r w:rsidR="004D32C5" w:rsidRPr="00287F1D">
        <w:t xml:space="preserve">ciešams fokusēties, pirmkārt, uz sieviešu un vīriešu </w:t>
      </w:r>
      <w:r w:rsidR="00EF32CF">
        <w:t>līdztiesību</w:t>
      </w:r>
      <w:r w:rsidR="004D32C5" w:rsidRPr="00287F1D">
        <w:t xml:space="preserve"> kā visai sabiedrībai pozitīvu</w:t>
      </w:r>
      <w:r w:rsidR="00F03099" w:rsidRPr="00287F1D">
        <w:t xml:space="preserve"> ieguvumu</w:t>
      </w:r>
      <w:r w:rsidR="00781A9B" w:rsidRPr="00287F1D">
        <w:t xml:space="preserve"> </w:t>
      </w:r>
      <w:r w:rsidR="002627A9" w:rsidRPr="00287F1D">
        <w:t>, kas sekmē arī vīriešu labklājību, kā arī, otrkārt, uz vīriešiem un zēniem specifiskajām problēmām un stereotipiem, kas</w:t>
      </w:r>
      <w:r w:rsidR="00E00FFF" w:rsidRPr="00287F1D">
        <w:t xml:space="preserve"> negatīvi</w:t>
      </w:r>
      <w:r w:rsidR="002627A9" w:rsidRPr="00287F1D">
        <w:t xml:space="preserve"> </w:t>
      </w:r>
      <w:r w:rsidR="004F0DDE" w:rsidRPr="00287F1D">
        <w:t xml:space="preserve">ietekmē gan vīriešu, gan sieviešu situāciju. </w:t>
      </w:r>
      <w:r w:rsidR="005F7332" w:rsidRPr="00287F1D">
        <w:t>Šajā kontekstā būtiski ir strādāt ar jauniešiem, īpaši uzsverot</w:t>
      </w:r>
      <w:r w:rsidR="000B6C24" w:rsidRPr="00287F1D">
        <w:t xml:space="preserve"> negatīvo stereotipu sekas, kas var likt vīriešiem apspiest emocijas un stigmatizēt mentālās veselības problēmas, kas ierobežo vīriešu spēju lūgt un saņemt atbalstu. </w:t>
      </w:r>
    </w:p>
    <w:p w14:paraId="5C3609F7" w14:textId="142CF3BB" w:rsidR="00DF5D9B" w:rsidRDefault="005D0515" w:rsidP="000A1E19">
      <w:pPr>
        <w:spacing w:before="120" w:after="120" w:line="264" w:lineRule="auto"/>
        <w:jc w:val="both"/>
      </w:pPr>
      <w:r w:rsidRPr="00287F1D">
        <w:t xml:space="preserve">Tāpat, strādājot ar dzimumu saistītiem stereotipiem un to mazināšanu, ir būtiski izprast sabiedrības viedokli un izpratni par vienlīdzīgu iespēju jautājumiem un valdošajiem stereotipiem sabiedrībā, kā arī </w:t>
      </w:r>
      <w:r w:rsidR="00A478D7" w:rsidRPr="00287F1D">
        <w:t xml:space="preserve">veidot efektīvu sadarbību ar </w:t>
      </w:r>
      <w:r w:rsidR="002512CD" w:rsidRPr="00287F1D">
        <w:t xml:space="preserve">nevalstiskā sektora organizācijām, </w:t>
      </w:r>
      <w:r w:rsidR="00DF5D9B" w:rsidRPr="00287F1D">
        <w:t xml:space="preserve">lai veicinātu </w:t>
      </w:r>
      <w:r w:rsidR="002512CD" w:rsidRPr="00287F1D">
        <w:t xml:space="preserve">jaunu </w:t>
      </w:r>
      <w:r w:rsidR="00DF5D9B" w:rsidRPr="00287F1D">
        <w:t>iniciatīvu</w:t>
      </w:r>
      <w:r w:rsidR="00493EE5" w:rsidRPr="00287F1D">
        <w:t xml:space="preserve">, atbalsta veicināšanu, dažādu prasmju </w:t>
      </w:r>
      <w:r w:rsidR="00D75942" w:rsidRPr="00287F1D">
        <w:t xml:space="preserve">(piemēram, digitālo, finanšu, veselības) </w:t>
      </w:r>
      <w:r w:rsidR="00493EE5" w:rsidRPr="00287F1D">
        <w:t>att</w:t>
      </w:r>
      <w:r w:rsidR="00D75942" w:rsidRPr="00287F1D">
        <w:t xml:space="preserve">īstīšanu un pilnveidošanu, līderības  stiprināšanu, kā arī </w:t>
      </w:r>
      <w:r w:rsidR="002512CD" w:rsidRPr="00287F1D">
        <w:t>informatīvo aktivitāšu realizāciju</w:t>
      </w:r>
      <w:r w:rsidR="003B3C5D" w:rsidRPr="00287F1D">
        <w:t xml:space="preserve"> sieviešu un vīriešu vienlīdzīgu tiesību un iespēju jomā.</w:t>
      </w:r>
      <w:r w:rsidR="00DF5D9B" w:rsidRPr="00287F1D">
        <w:t xml:space="preserve"> </w:t>
      </w:r>
    </w:p>
    <w:p w14:paraId="1B8F1B89" w14:textId="77777777" w:rsidR="00EA67CC" w:rsidRPr="00287F1D" w:rsidRDefault="00EA67CC" w:rsidP="00DC72BB">
      <w:pPr>
        <w:spacing w:before="120" w:after="120" w:line="264" w:lineRule="auto"/>
        <w:rPr>
          <w:sz w:val="28"/>
          <w:szCs w:val="28"/>
        </w:rPr>
      </w:pPr>
    </w:p>
    <w:tbl>
      <w:tblPr>
        <w:tblStyle w:val="TableGrid"/>
        <w:tblW w:w="0" w:type="auto"/>
        <w:tblLook w:val="04A0" w:firstRow="1" w:lastRow="0" w:firstColumn="1" w:lastColumn="0" w:noHBand="0" w:noVBand="1"/>
      </w:tblPr>
      <w:tblGrid>
        <w:gridCol w:w="846"/>
        <w:gridCol w:w="2640"/>
        <w:gridCol w:w="2638"/>
        <w:gridCol w:w="2376"/>
        <w:gridCol w:w="78"/>
        <w:gridCol w:w="1350"/>
        <w:gridCol w:w="1744"/>
        <w:gridCol w:w="1747"/>
      </w:tblGrid>
      <w:tr w:rsidR="00B946A1" w:rsidRPr="00BF5500" w14:paraId="2D90A352" w14:textId="77777777" w:rsidTr="00B946A1">
        <w:tc>
          <w:tcPr>
            <w:tcW w:w="846" w:type="dxa"/>
            <w:shd w:val="clear" w:color="auto" w:fill="E2EFD9" w:themeFill="accent6" w:themeFillTint="33"/>
          </w:tcPr>
          <w:p w14:paraId="20616983" w14:textId="77777777" w:rsidR="00B946A1" w:rsidRPr="00BF5500" w:rsidRDefault="00B946A1" w:rsidP="00D226F5">
            <w:pPr>
              <w:spacing w:before="100" w:beforeAutospacing="1" w:after="100" w:afterAutospacing="1"/>
              <w:rPr>
                <w:sz w:val="22"/>
                <w:szCs w:val="22"/>
              </w:rPr>
            </w:pPr>
            <w:r w:rsidRPr="00BF5500">
              <w:rPr>
                <w:sz w:val="22"/>
                <w:szCs w:val="22"/>
              </w:rPr>
              <w:t xml:space="preserve">Nr. p. k. </w:t>
            </w:r>
          </w:p>
        </w:tc>
        <w:tc>
          <w:tcPr>
            <w:tcW w:w="2640" w:type="dxa"/>
            <w:shd w:val="clear" w:color="auto" w:fill="E2EFD9" w:themeFill="accent6" w:themeFillTint="33"/>
          </w:tcPr>
          <w:p w14:paraId="54198168" w14:textId="77777777" w:rsidR="00B946A1" w:rsidRPr="00BF5500" w:rsidRDefault="00B946A1" w:rsidP="00D226F5">
            <w:pPr>
              <w:spacing w:before="100" w:beforeAutospacing="1" w:after="100" w:afterAutospacing="1"/>
              <w:rPr>
                <w:sz w:val="22"/>
                <w:szCs w:val="22"/>
              </w:rPr>
            </w:pPr>
            <w:r w:rsidRPr="00BF5500">
              <w:rPr>
                <w:sz w:val="22"/>
                <w:szCs w:val="22"/>
              </w:rPr>
              <w:t>Pasākums</w:t>
            </w:r>
          </w:p>
        </w:tc>
        <w:tc>
          <w:tcPr>
            <w:tcW w:w="2638" w:type="dxa"/>
            <w:shd w:val="clear" w:color="auto" w:fill="E2EFD9" w:themeFill="accent6" w:themeFillTint="33"/>
          </w:tcPr>
          <w:p w14:paraId="7186632C" w14:textId="77777777" w:rsidR="00B946A1" w:rsidRPr="00BF5500" w:rsidRDefault="00B946A1" w:rsidP="00D226F5">
            <w:pPr>
              <w:spacing w:before="100" w:beforeAutospacing="1" w:after="100" w:afterAutospacing="1"/>
              <w:rPr>
                <w:sz w:val="22"/>
                <w:szCs w:val="22"/>
              </w:rPr>
            </w:pPr>
            <w:r w:rsidRPr="00BF5500">
              <w:rPr>
                <w:sz w:val="22"/>
                <w:szCs w:val="22"/>
              </w:rPr>
              <w:t>Darbības rezultāts</w:t>
            </w:r>
          </w:p>
        </w:tc>
        <w:tc>
          <w:tcPr>
            <w:tcW w:w="2376" w:type="dxa"/>
            <w:shd w:val="clear" w:color="auto" w:fill="E2EFD9" w:themeFill="accent6" w:themeFillTint="33"/>
          </w:tcPr>
          <w:p w14:paraId="4B977A82" w14:textId="77777777" w:rsidR="00B946A1" w:rsidRPr="00BF5500" w:rsidRDefault="00B946A1" w:rsidP="00D226F5">
            <w:pPr>
              <w:spacing w:before="100" w:beforeAutospacing="1" w:after="100" w:afterAutospacing="1"/>
              <w:rPr>
                <w:sz w:val="22"/>
                <w:szCs w:val="22"/>
              </w:rPr>
            </w:pPr>
            <w:r w:rsidRPr="00BF5500">
              <w:rPr>
                <w:sz w:val="22"/>
                <w:szCs w:val="22"/>
              </w:rPr>
              <w:t>Rezultatīvais rādītājs</w:t>
            </w:r>
          </w:p>
        </w:tc>
        <w:tc>
          <w:tcPr>
            <w:tcW w:w="1428" w:type="dxa"/>
            <w:gridSpan w:val="2"/>
            <w:shd w:val="clear" w:color="auto" w:fill="E2EFD9" w:themeFill="accent6" w:themeFillTint="33"/>
          </w:tcPr>
          <w:p w14:paraId="0D4399E2" w14:textId="77777777" w:rsidR="00B946A1" w:rsidRPr="00BF5500" w:rsidRDefault="00B946A1" w:rsidP="00D226F5">
            <w:pPr>
              <w:spacing w:before="100" w:beforeAutospacing="1" w:after="100" w:afterAutospacing="1"/>
              <w:jc w:val="center"/>
              <w:rPr>
                <w:sz w:val="22"/>
                <w:szCs w:val="22"/>
              </w:rPr>
            </w:pPr>
            <w:r w:rsidRPr="00BF5500">
              <w:rPr>
                <w:sz w:val="22"/>
                <w:szCs w:val="22"/>
              </w:rPr>
              <w:t>Atbildīgā institūcija</w:t>
            </w:r>
          </w:p>
        </w:tc>
        <w:tc>
          <w:tcPr>
            <w:tcW w:w="1744" w:type="dxa"/>
            <w:shd w:val="clear" w:color="auto" w:fill="E2EFD9" w:themeFill="accent6" w:themeFillTint="33"/>
          </w:tcPr>
          <w:p w14:paraId="75731F9B" w14:textId="77777777" w:rsidR="00B946A1" w:rsidRPr="00BF5500" w:rsidRDefault="00B946A1" w:rsidP="00D226F5">
            <w:pPr>
              <w:spacing w:before="100" w:beforeAutospacing="1" w:after="100" w:afterAutospacing="1"/>
              <w:rPr>
                <w:sz w:val="22"/>
                <w:szCs w:val="22"/>
              </w:rPr>
            </w:pPr>
            <w:r w:rsidRPr="00BF5500">
              <w:rPr>
                <w:sz w:val="22"/>
                <w:szCs w:val="22"/>
              </w:rPr>
              <w:t>Iesaistītās institūcijas</w:t>
            </w:r>
          </w:p>
        </w:tc>
        <w:tc>
          <w:tcPr>
            <w:tcW w:w="1747" w:type="dxa"/>
            <w:shd w:val="clear" w:color="auto" w:fill="E2EFD9" w:themeFill="accent6" w:themeFillTint="33"/>
          </w:tcPr>
          <w:p w14:paraId="5C907977" w14:textId="77777777" w:rsidR="00B946A1" w:rsidRPr="00BF5500" w:rsidRDefault="00B946A1" w:rsidP="00D226F5">
            <w:pPr>
              <w:spacing w:before="100" w:beforeAutospacing="1" w:after="100" w:afterAutospacing="1"/>
              <w:rPr>
                <w:sz w:val="22"/>
                <w:szCs w:val="22"/>
              </w:rPr>
            </w:pPr>
            <w:r w:rsidRPr="00BF5500">
              <w:rPr>
                <w:sz w:val="22"/>
                <w:szCs w:val="22"/>
              </w:rPr>
              <w:t>Īstenošanas termiņš</w:t>
            </w:r>
          </w:p>
        </w:tc>
      </w:tr>
      <w:tr w:rsidR="00B946A1" w:rsidRPr="00BF5500" w14:paraId="399A4219" w14:textId="77777777" w:rsidTr="00D226F5">
        <w:tc>
          <w:tcPr>
            <w:tcW w:w="846" w:type="dxa"/>
          </w:tcPr>
          <w:p w14:paraId="5BD7F103" w14:textId="77777777" w:rsidR="00B946A1" w:rsidRPr="00BF5500" w:rsidRDefault="00B946A1" w:rsidP="00D226F5">
            <w:pPr>
              <w:spacing w:before="100" w:beforeAutospacing="1" w:after="100" w:afterAutospacing="1"/>
              <w:rPr>
                <w:sz w:val="22"/>
                <w:szCs w:val="22"/>
              </w:rPr>
            </w:pPr>
            <w:r>
              <w:rPr>
                <w:sz w:val="22"/>
                <w:szCs w:val="22"/>
              </w:rPr>
              <w:t>9</w:t>
            </w:r>
            <w:r w:rsidRPr="00BF5500">
              <w:rPr>
                <w:sz w:val="22"/>
                <w:szCs w:val="22"/>
              </w:rPr>
              <w:t>.</w:t>
            </w:r>
          </w:p>
        </w:tc>
        <w:tc>
          <w:tcPr>
            <w:tcW w:w="2640" w:type="dxa"/>
          </w:tcPr>
          <w:p w14:paraId="0645E279" w14:textId="77777777" w:rsidR="00B946A1" w:rsidRPr="00BF5500" w:rsidRDefault="00B946A1" w:rsidP="000A1E19">
            <w:pPr>
              <w:spacing w:before="100" w:beforeAutospacing="1" w:after="100" w:afterAutospacing="1"/>
              <w:jc w:val="both"/>
              <w:rPr>
                <w:sz w:val="22"/>
                <w:szCs w:val="22"/>
              </w:rPr>
            </w:pPr>
            <w:r w:rsidRPr="00BF5500">
              <w:rPr>
                <w:sz w:val="22"/>
                <w:szCs w:val="22"/>
              </w:rPr>
              <w:t xml:space="preserve">Sabiedrības izpratnes par sieviešu un vīriešu vienlīdzīgu tiesību un </w:t>
            </w:r>
            <w:r w:rsidRPr="00BF5500">
              <w:rPr>
                <w:sz w:val="22"/>
                <w:szCs w:val="22"/>
              </w:rPr>
              <w:lastRenderedPageBreak/>
              <w:t xml:space="preserve">iespēju principu un tā nozīmi ikdienas dzīvē veicināšana </w:t>
            </w:r>
          </w:p>
        </w:tc>
        <w:tc>
          <w:tcPr>
            <w:tcW w:w="2638" w:type="dxa"/>
          </w:tcPr>
          <w:p w14:paraId="420E0264" w14:textId="77777777" w:rsidR="00B946A1" w:rsidRPr="00BF5500" w:rsidRDefault="00B946A1" w:rsidP="00091864">
            <w:pPr>
              <w:spacing w:before="100" w:beforeAutospacing="1" w:after="100" w:afterAutospacing="1"/>
              <w:jc w:val="both"/>
              <w:rPr>
                <w:sz w:val="22"/>
                <w:szCs w:val="22"/>
              </w:rPr>
            </w:pPr>
            <w:r>
              <w:rPr>
                <w:sz w:val="22"/>
                <w:szCs w:val="22"/>
              </w:rPr>
              <w:lastRenderedPageBreak/>
              <w:t>9</w:t>
            </w:r>
            <w:r w:rsidRPr="00BF5500">
              <w:rPr>
                <w:sz w:val="22"/>
                <w:szCs w:val="22"/>
              </w:rPr>
              <w:t xml:space="preserve">.1. </w:t>
            </w:r>
            <w:r>
              <w:rPr>
                <w:sz w:val="22"/>
                <w:szCs w:val="22"/>
              </w:rPr>
              <w:t xml:space="preserve">Apzināts </w:t>
            </w:r>
            <w:r w:rsidRPr="00BF5500">
              <w:rPr>
                <w:sz w:val="22"/>
                <w:szCs w:val="22"/>
              </w:rPr>
              <w:t xml:space="preserve"> sabiedrības </w:t>
            </w:r>
            <w:r>
              <w:rPr>
                <w:sz w:val="22"/>
                <w:szCs w:val="22"/>
              </w:rPr>
              <w:t xml:space="preserve">viedoklis </w:t>
            </w:r>
            <w:r w:rsidRPr="00BF5500">
              <w:rPr>
                <w:sz w:val="22"/>
                <w:szCs w:val="22"/>
              </w:rPr>
              <w:t xml:space="preserve">par dzimumu stereotipiem un </w:t>
            </w:r>
            <w:r w:rsidRPr="00BF5500">
              <w:rPr>
                <w:sz w:val="22"/>
                <w:szCs w:val="22"/>
              </w:rPr>
              <w:lastRenderedPageBreak/>
              <w:t>aizspriedumiem attiecībā uz sieviešu un vīriešu lomu ģimenē un sabiedrībā</w:t>
            </w:r>
          </w:p>
        </w:tc>
        <w:tc>
          <w:tcPr>
            <w:tcW w:w="2454" w:type="dxa"/>
            <w:gridSpan w:val="2"/>
          </w:tcPr>
          <w:p w14:paraId="2E7E8647" w14:textId="77777777" w:rsidR="00B946A1" w:rsidRPr="00BF5500" w:rsidRDefault="00B946A1" w:rsidP="00091864">
            <w:pPr>
              <w:spacing w:before="100" w:beforeAutospacing="1" w:after="100" w:afterAutospacing="1"/>
              <w:jc w:val="both"/>
              <w:rPr>
                <w:sz w:val="22"/>
                <w:szCs w:val="22"/>
              </w:rPr>
            </w:pPr>
            <w:r w:rsidRPr="00F926CC">
              <w:rPr>
                <w:b/>
                <w:bCs/>
                <w:sz w:val="22"/>
                <w:szCs w:val="22"/>
              </w:rPr>
              <w:lastRenderedPageBreak/>
              <w:t>Veikta  aptauja</w:t>
            </w:r>
            <w:r w:rsidRPr="00BF5500">
              <w:rPr>
                <w:sz w:val="22"/>
                <w:szCs w:val="22"/>
              </w:rPr>
              <w:t xml:space="preserve"> par iedzīvotāju izpratni un attieksmi pret dzimumu </w:t>
            </w:r>
            <w:r w:rsidRPr="00BF5500">
              <w:rPr>
                <w:sz w:val="22"/>
                <w:szCs w:val="22"/>
              </w:rPr>
              <w:lastRenderedPageBreak/>
              <w:t>līdztiesības jautājumiem</w:t>
            </w:r>
            <w:r w:rsidRPr="00BF5500">
              <w:rPr>
                <w:sz w:val="22"/>
                <w:szCs w:val="22"/>
                <w:vertAlign w:val="superscript"/>
              </w:rPr>
              <w:footnoteReference w:id="34"/>
            </w:r>
          </w:p>
        </w:tc>
        <w:tc>
          <w:tcPr>
            <w:tcW w:w="1350" w:type="dxa"/>
          </w:tcPr>
          <w:p w14:paraId="46F2245D" w14:textId="77777777" w:rsidR="00B946A1" w:rsidRPr="00BF5500" w:rsidRDefault="00B946A1" w:rsidP="00D226F5">
            <w:pPr>
              <w:spacing w:before="100" w:beforeAutospacing="1" w:after="100" w:afterAutospacing="1"/>
              <w:rPr>
                <w:sz w:val="22"/>
                <w:szCs w:val="22"/>
              </w:rPr>
            </w:pPr>
            <w:r w:rsidRPr="00BF5500">
              <w:rPr>
                <w:sz w:val="22"/>
                <w:szCs w:val="22"/>
              </w:rPr>
              <w:lastRenderedPageBreak/>
              <w:t>LM</w:t>
            </w:r>
          </w:p>
        </w:tc>
        <w:tc>
          <w:tcPr>
            <w:tcW w:w="1744" w:type="dxa"/>
          </w:tcPr>
          <w:p w14:paraId="5269E411" w14:textId="77777777" w:rsidR="00B946A1" w:rsidRPr="00BF5500" w:rsidRDefault="00B946A1" w:rsidP="00D226F5">
            <w:pPr>
              <w:spacing w:before="100" w:beforeAutospacing="1" w:after="100" w:afterAutospacing="1"/>
              <w:rPr>
                <w:sz w:val="22"/>
                <w:szCs w:val="22"/>
              </w:rPr>
            </w:pPr>
          </w:p>
        </w:tc>
        <w:tc>
          <w:tcPr>
            <w:tcW w:w="1747" w:type="dxa"/>
          </w:tcPr>
          <w:p w14:paraId="435F49AD" w14:textId="77777777" w:rsidR="00B946A1" w:rsidRPr="00BF5500" w:rsidRDefault="00B946A1" w:rsidP="00D226F5">
            <w:pPr>
              <w:spacing w:before="100" w:beforeAutospacing="1" w:after="100" w:afterAutospacing="1"/>
              <w:rPr>
                <w:sz w:val="22"/>
                <w:szCs w:val="22"/>
              </w:rPr>
            </w:pPr>
            <w:r w:rsidRPr="00BF5500">
              <w:rPr>
                <w:sz w:val="22"/>
                <w:szCs w:val="22"/>
              </w:rPr>
              <w:t>2027. gada 3. ceturksnis</w:t>
            </w:r>
          </w:p>
        </w:tc>
      </w:tr>
      <w:tr w:rsidR="00BF5500" w:rsidRPr="00BF5500" w14:paraId="1367AB0F" w14:textId="77777777" w:rsidTr="004A5902">
        <w:tc>
          <w:tcPr>
            <w:tcW w:w="846" w:type="dxa"/>
          </w:tcPr>
          <w:p w14:paraId="7E7A0E73" w14:textId="77777777" w:rsidR="00BF5500" w:rsidRPr="00BF5500" w:rsidRDefault="00BF5500" w:rsidP="00BF5500">
            <w:pPr>
              <w:spacing w:before="100" w:beforeAutospacing="1" w:after="100" w:afterAutospacing="1"/>
              <w:rPr>
                <w:sz w:val="22"/>
                <w:szCs w:val="22"/>
              </w:rPr>
            </w:pPr>
          </w:p>
        </w:tc>
        <w:tc>
          <w:tcPr>
            <w:tcW w:w="2640" w:type="dxa"/>
          </w:tcPr>
          <w:p w14:paraId="2B894970" w14:textId="77777777" w:rsidR="00BF5500" w:rsidRPr="00BF5500" w:rsidRDefault="00BF5500" w:rsidP="00BF5500">
            <w:pPr>
              <w:spacing w:before="100" w:beforeAutospacing="1" w:after="100" w:afterAutospacing="1"/>
              <w:rPr>
                <w:sz w:val="22"/>
                <w:szCs w:val="22"/>
              </w:rPr>
            </w:pPr>
          </w:p>
        </w:tc>
        <w:tc>
          <w:tcPr>
            <w:tcW w:w="2638" w:type="dxa"/>
          </w:tcPr>
          <w:p w14:paraId="4CD32AAC" w14:textId="2817BBA5" w:rsidR="00BF5500" w:rsidRPr="00BF5500" w:rsidRDefault="001D03BE" w:rsidP="00091864">
            <w:pPr>
              <w:spacing w:before="100" w:beforeAutospacing="1" w:after="100" w:afterAutospacing="1"/>
              <w:jc w:val="both"/>
              <w:rPr>
                <w:sz w:val="22"/>
                <w:szCs w:val="22"/>
              </w:rPr>
            </w:pPr>
            <w:r>
              <w:rPr>
                <w:sz w:val="22"/>
                <w:szCs w:val="22"/>
              </w:rPr>
              <w:t>9</w:t>
            </w:r>
            <w:r w:rsidR="00BF5500" w:rsidRPr="00BF5500">
              <w:rPr>
                <w:sz w:val="22"/>
                <w:szCs w:val="22"/>
              </w:rPr>
              <w:t>.2. Informēta sabiedrība par sieviešu un vīriešu vienlīdzīgu iespēju un tiesību nodrošināšanu savu tiesību aizstāvībai  un īstenošanai</w:t>
            </w:r>
          </w:p>
        </w:tc>
        <w:tc>
          <w:tcPr>
            <w:tcW w:w="2454" w:type="dxa"/>
            <w:gridSpan w:val="2"/>
          </w:tcPr>
          <w:p w14:paraId="5C18F248" w14:textId="58D60D12" w:rsidR="00BF5500" w:rsidRPr="00BF5500" w:rsidRDefault="00BF5500" w:rsidP="007D70DA">
            <w:pPr>
              <w:spacing w:before="100" w:beforeAutospacing="1" w:after="100" w:afterAutospacing="1"/>
              <w:rPr>
                <w:sz w:val="22"/>
                <w:szCs w:val="22"/>
              </w:rPr>
            </w:pPr>
            <w:r w:rsidRPr="00BF5500">
              <w:rPr>
                <w:sz w:val="22"/>
                <w:szCs w:val="22"/>
              </w:rPr>
              <w:t xml:space="preserve">Īstenota </w:t>
            </w:r>
            <w:r w:rsidR="00444BC6" w:rsidRPr="00F926CC">
              <w:rPr>
                <w:b/>
                <w:bCs/>
                <w:sz w:val="22"/>
                <w:szCs w:val="22"/>
              </w:rPr>
              <w:t>i</w:t>
            </w:r>
            <w:r w:rsidRPr="00F926CC">
              <w:rPr>
                <w:b/>
                <w:bCs/>
                <w:sz w:val="22"/>
                <w:szCs w:val="22"/>
              </w:rPr>
              <w:t>ntegrēta mediju kampaņa</w:t>
            </w:r>
            <w:r w:rsidRPr="00BF5500">
              <w:rPr>
                <w:sz w:val="22"/>
                <w:szCs w:val="22"/>
                <w:vertAlign w:val="superscript"/>
              </w:rPr>
              <w:footnoteReference w:id="35"/>
            </w:r>
          </w:p>
        </w:tc>
        <w:tc>
          <w:tcPr>
            <w:tcW w:w="1350" w:type="dxa"/>
          </w:tcPr>
          <w:p w14:paraId="4413A047"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744" w:type="dxa"/>
          </w:tcPr>
          <w:p w14:paraId="3FF8A1C1" w14:textId="77777777" w:rsidR="00BF5500" w:rsidRPr="00BF5500" w:rsidRDefault="00BF5500" w:rsidP="00BF5500">
            <w:pPr>
              <w:spacing w:before="100" w:beforeAutospacing="1" w:after="100" w:afterAutospacing="1"/>
              <w:rPr>
                <w:sz w:val="22"/>
                <w:szCs w:val="22"/>
              </w:rPr>
            </w:pPr>
          </w:p>
        </w:tc>
        <w:tc>
          <w:tcPr>
            <w:tcW w:w="1747" w:type="dxa"/>
          </w:tcPr>
          <w:p w14:paraId="40623A69" w14:textId="77777777" w:rsidR="00BF5500" w:rsidRPr="00BF5500" w:rsidRDefault="00BF5500" w:rsidP="00BF5500">
            <w:pPr>
              <w:spacing w:before="100" w:beforeAutospacing="1" w:after="100" w:afterAutospacing="1"/>
              <w:rPr>
                <w:sz w:val="22"/>
                <w:szCs w:val="22"/>
              </w:rPr>
            </w:pPr>
            <w:r w:rsidRPr="00BF5500">
              <w:rPr>
                <w:sz w:val="22"/>
                <w:szCs w:val="22"/>
              </w:rPr>
              <w:t>2027. gada 2. ceturksnis</w:t>
            </w:r>
          </w:p>
        </w:tc>
      </w:tr>
      <w:tr w:rsidR="00BF5500" w:rsidRPr="00BF5500" w14:paraId="6974D79E" w14:textId="77777777" w:rsidTr="004A5902">
        <w:tc>
          <w:tcPr>
            <w:tcW w:w="846" w:type="dxa"/>
          </w:tcPr>
          <w:p w14:paraId="0B1A1AEB" w14:textId="77777777" w:rsidR="00BF5500" w:rsidRPr="00BF5500" w:rsidRDefault="00BF5500" w:rsidP="00BF5500">
            <w:pPr>
              <w:spacing w:before="100" w:beforeAutospacing="1" w:after="100" w:afterAutospacing="1"/>
              <w:rPr>
                <w:sz w:val="22"/>
                <w:szCs w:val="22"/>
              </w:rPr>
            </w:pPr>
          </w:p>
        </w:tc>
        <w:tc>
          <w:tcPr>
            <w:tcW w:w="2640" w:type="dxa"/>
          </w:tcPr>
          <w:p w14:paraId="03877341" w14:textId="77777777" w:rsidR="00BF5500" w:rsidRPr="00BF5500" w:rsidRDefault="00BF5500" w:rsidP="00BF5500">
            <w:pPr>
              <w:spacing w:before="100" w:beforeAutospacing="1" w:after="100" w:afterAutospacing="1"/>
              <w:rPr>
                <w:sz w:val="22"/>
                <w:szCs w:val="22"/>
              </w:rPr>
            </w:pPr>
          </w:p>
        </w:tc>
        <w:tc>
          <w:tcPr>
            <w:tcW w:w="2638" w:type="dxa"/>
          </w:tcPr>
          <w:p w14:paraId="7E5D3BD5" w14:textId="26C05F74" w:rsidR="00BF5500" w:rsidRPr="00BF5500" w:rsidRDefault="001D03BE" w:rsidP="000A15C0">
            <w:pPr>
              <w:spacing w:before="100" w:beforeAutospacing="1" w:after="100" w:afterAutospacing="1"/>
              <w:jc w:val="both"/>
              <w:rPr>
                <w:sz w:val="22"/>
                <w:szCs w:val="22"/>
              </w:rPr>
            </w:pPr>
            <w:r>
              <w:rPr>
                <w:sz w:val="22"/>
                <w:szCs w:val="22"/>
              </w:rPr>
              <w:t>9</w:t>
            </w:r>
            <w:r w:rsidR="00BF5500" w:rsidRPr="00BF5500">
              <w:rPr>
                <w:sz w:val="22"/>
                <w:szCs w:val="22"/>
              </w:rPr>
              <w:t>.3. Sniegts atbalsts sieviešu un vīriešu vienlīdzīgu tiesību un iespēju realizēšanai dažādās dzīves jomās.</w:t>
            </w:r>
          </w:p>
        </w:tc>
        <w:tc>
          <w:tcPr>
            <w:tcW w:w="2454" w:type="dxa"/>
            <w:gridSpan w:val="2"/>
          </w:tcPr>
          <w:p w14:paraId="48951958" w14:textId="77777777" w:rsidR="00BF5500" w:rsidRDefault="00BF5500" w:rsidP="00D62AB1">
            <w:pPr>
              <w:spacing w:before="100" w:beforeAutospacing="1" w:after="100" w:afterAutospacing="1"/>
              <w:rPr>
                <w:sz w:val="22"/>
                <w:szCs w:val="22"/>
              </w:rPr>
            </w:pPr>
            <w:r w:rsidRPr="005A7FA4">
              <w:rPr>
                <w:b/>
                <w:bCs/>
                <w:sz w:val="22"/>
                <w:szCs w:val="22"/>
              </w:rPr>
              <w:t>atklāts projektu konkurss</w:t>
            </w:r>
            <w:r w:rsidRPr="00BF5500">
              <w:rPr>
                <w:sz w:val="22"/>
                <w:szCs w:val="22"/>
              </w:rPr>
              <w:t xml:space="preserve"> nevalstiskā sektora organizācijām</w:t>
            </w:r>
            <w:r w:rsidRPr="00BF5500">
              <w:rPr>
                <w:sz w:val="22"/>
                <w:szCs w:val="22"/>
                <w:vertAlign w:val="superscript"/>
              </w:rPr>
              <w:footnoteReference w:id="36"/>
            </w:r>
          </w:p>
          <w:p w14:paraId="59CD558F" w14:textId="551715A0" w:rsidR="00F400DB" w:rsidRPr="00BF5500" w:rsidRDefault="00F400DB" w:rsidP="00BF5500">
            <w:pPr>
              <w:spacing w:before="100" w:beforeAutospacing="1" w:after="100" w:afterAutospacing="1"/>
              <w:rPr>
                <w:sz w:val="22"/>
                <w:szCs w:val="22"/>
              </w:rPr>
            </w:pPr>
            <w:r>
              <w:rPr>
                <w:sz w:val="22"/>
                <w:szCs w:val="22"/>
              </w:rPr>
              <w:t>īstenoti vismaz 22 projekti</w:t>
            </w:r>
          </w:p>
        </w:tc>
        <w:tc>
          <w:tcPr>
            <w:tcW w:w="1350" w:type="dxa"/>
          </w:tcPr>
          <w:p w14:paraId="35584077" w14:textId="4450FB49" w:rsidR="00BF5500" w:rsidRPr="00BF5500" w:rsidRDefault="00BF5500" w:rsidP="00BF5500">
            <w:pPr>
              <w:spacing w:before="100" w:beforeAutospacing="1" w:after="100" w:afterAutospacing="1"/>
              <w:rPr>
                <w:sz w:val="22"/>
                <w:szCs w:val="22"/>
              </w:rPr>
            </w:pPr>
            <w:r w:rsidRPr="00BF5500">
              <w:rPr>
                <w:sz w:val="22"/>
                <w:szCs w:val="22"/>
              </w:rPr>
              <w:t>LM</w:t>
            </w:r>
          </w:p>
        </w:tc>
        <w:tc>
          <w:tcPr>
            <w:tcW w:w="1744" w:type="dxa"/>
          </w:tcPr>
          <w:p w14:paraId="15ADF631" w14:textId="77777777" w:rsidR="00BF5500" w:rsidRPr="00BF5500" w:rsidRDefault="00BF5500" w:rsidP="00BF5500">
            <w:pPr>
              <w:spacing w:before="100" w:beforeAutospacing="1" w:after="100" w:afterAutospacing="1"/>
              <w:rPr>
                <w:sz w:val="22"/>
                <w:szCs w:val="22"/>
              </w:rPr>
            </w:pPr>
          </w:p>
        </w:tc>
        <w:tc>
          <w:tcPr>
            <w:tcW w:w="1747" w:type="dxa"/>
          </w:tcPr>
          <w:p w14:paraId="4DCA6AED" w14:textId="07E92CFD" w:rsidR="00BF5500" w:rsidRPr="00BF5500" w:rsidRDefault="00BF5500" w:rsidP="00BF5500">
            <w:pPr>
              <w:spacing w:before="100" w:beforeAutospacing="1" w:after="100" w:afterAutospacing="1"/>
              <w:rPr>
                <w:sz w:val="22"/>
                <w:szCs w:val="22"/>
              </w:rPr>
            </w:pPr>
            <w:r w:rsidRPr="00BF5500">
              <w:rPr>
                <w:sz w:val="22"/>
                <w:szCs w:val="22"/>
              </w:rPr>
              <w:t>202</w:t>
            </w:r>
            <w:r w:rsidR="001703A0">
              <w:rPr>
                <w:sz w:val="22"/>
                <w:szCs w:val="22"/>
              </w:rPr>
              <w:t>7</w:t>
            </w:r>
            <w:r w:rsidRPr="00BF5500">
              <w:rPr>
                <w:sz w:val="22"/>
                <w:szCs w:val="22"/>
              </w:rPr>
              <w:t>. gada 4. ceturksnis</w:t>
            </w:r>
          </w:p>
        </w:tc>
      </w:tr>
      <w:tr w:rsidR="00BF5500" w:rsidRPr="00BF5500" w14:paraId="4F58A2B1" w14:textId="77777777" w:rsidTr="004A5902">
        <w:trPr>
          <w:trHeight w:val="805"/>
        </w:trPr>
        <w:tc>
          <w:tcPr>
            <w:tcW w:w="846" w:type="dxa"/>
          </w:tcPr>
          <w:p w14:paraId="13CC8395" w14:textId="77777777" w:rsidR="00BF5500" w:rsidRPr="00BF5500" w:rsidRDefault="00BF5500" w:rsidP="00BF5500">
            <w:pPr>
              <w:spacing w:before="100" w:beforeAutospacing="1" w:after="100" w:afterAutospacing="1"/>
              <w:rPr>
                <w:sz w:val="22"/>
                <w:szCs w:val="22"/>
              </w:rPr>
            </w:pPr>
          </w:p>
        </w:tc>
        <w:tc>
          <w:tcPr>
            <w:tcW w:w="2640" w:type="dxa"/>
          </w:tcPr>
          <w:p w14:paraId="27E0958A" w14:textId="77777777" w:rsidR="00BF5500" w:rsidRPr="00BF5500" w:rsidRDefault="00BF5500" w:rsidP="00BF5500">
            <w:pPr>
              <w:spacing w:before="100" w:beforeAutospacing="1" w:after="100" w:afterAutospacing="1"/>
              <w:rPr>
                <w:sz w:val="22"/>
                <w:szCs w:val="22"/>
              </w:rPr>
            </w:pPr>
          </w:p>
        </w:tc>
        <w:tc>
          <w:tcPr>
            <w:tcW w:w="2638" w:type="dxa"/>
          </w:tcPr>
          <w:p w14:paraId="6DD5A1A0" w14:textId="3D1ABEE8" w:rsidR="00BF5500" w:rsidRPr="00BF5500" w:rsidRDefault="001D03BE" w:rsidP="00D62AB1">
            <w:pPr>
              <w:spacing w:before="100" w:beforeAutospacing="1" w:after="100" w:afterAutospacing="1"/>
              <w:jc w:val="both"/>
              <w:rPr>
                <w:sz w:val="22"/>
                <w:szCs w:val="22"/>
              </w:rPr>
            </w:pPr>
            <w:r>
              <w:rPr>
                <w:sz w:val="22"/>
                <w:szCs w:val="22"/>
              </w:rPr>
              <w:t>9</w:t>
            </w:r>
            <w:r w:rsidR="00056C3C" w:rsidRPr="00BF5500">
              <w:rPr>
                <w:sz w:val="22"/>
                <w:szCs w:val="22"/>
              </w:rPr>
              <w:t>.4. Rosināta diskusija par ar dzimumu saistītu negatīvu stereotipu mazināšanu vīriešu un zēnu vidū</w:t>
            </w:r>
          </w:p>
        </w:tc>
        <w:tc>
          <w:tcPr>
            <w:tcW w:w="2454" w:type="dxa"/>
            <w:gridSpan w:val="2"/>
          </w:tcPr>
          <w:p w14:paraId="37A676CE" w14:textId="584F138E" w:rsidR="00BF5500" w:rsidRPr="00BF5500" w:rsidRDefault="00BF5500" w:rsidP="00D62AB1">
            <w:pPr>
              <w:spacing w:before="100" w:beforeAutospacing="1" w:after="100" w:afterAutospacing="1"/>
              <w:jc w:val="both"/>
              <w:rPr>
                <w:sz w:val="22"/>
                <w:szCs w:val="22"/>
                <w:highlight w:val="yellow"/>
              </w:rPr>
            </w:pPr>
            <w:r w:rsidRPr="00BF5500">
              <w:rPr>
                <w:b/>
                <w:bCs/>
                <w:sz w:val="22"/>
                <w:szCs w:val="22"/>
              </w:rPr>
              <w:t>Organizēti pasākumi zēniem</w:t>
            </w:r>
            <w:r w:rsidRPr="00BF5500">
              <w:rPr>
                <w:sz w:val="22"/>
                <w:szCs w:val="22"/>
              </w:rPr>
              <w:t xml:space="preserve"> par negatīviem ar dzimumu saistītiem stereotipiem un vīriešu </w:t>
            </w:r>
            <w:r w:rsidR="00300960">
              <w:rPr>
                <w:sz w:val="22"/>
                <w:szCs w:val="22"/>
              </w:rPr>
              <w:t>psihoemocionālo labklājību</w:t>
            </w:r>
            <w:r w:rsidR="001062CF">
              <w:rPr>
                <w:rStyle w:val="FootnoteReference"/>
                <w:sz w:val="22"/>
                <w:szCs w:val="22"/>
              </w:rPr>
              <w:footnoteReference w:id="37"/>
            </w:r>
          </w:p>
        </w:tc>
        <w:tc>
          <w:tcPr>
            <w:tcW w:w="1350" w:type="dxa"/>
          </w:tcPr>
          <w:p w14:paraId="08288419"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744" w:type="dxa"/>
          </w:tcPr>
          <w:p w14:paraId="15605C98" w14:textId="77777777" w:rsidR="00BF5500" w:rsidRPr="00BF5500" w:rsidRDefault="00BF5500" w:rsidP="00BF5500">
            <w:pPr>
              <w:spacing w:before="100" w:beforeAutospacing="1" w:after="100" w:afterAutospacing="1"/>
              <w:rPr>
                <w:sz w:val="22"/>
                <w:szCs w:val="22"/>
              </w:rPr>
            </w:pPr>
            <w:r w:rsidRPr="00BF5500">
              <w:rPr>
                <w:sz w:val="22"/>
                <w:szCs w:val="22"/>
              </w:rPr>
              <w:t>NVO</w:t>
            </w:r>
          </w:p>
        </w:tc>
        <w:tc>
          <w:tcPr>
            <w:tcW w:w="1747" w:type="dxa"/>
          </w:tcPr>
          <w:p w14:paraId="2CCCFED3" w14:textId="77777777" w:rsidR="00BF5500" w:rsidRPr="00BF5500" w:rsidRDefault="00BF5500" w:rsidP="00BF5500">
            <w:pPr>
              <w:spacing w:before="100" w:beforeAutospacing="1" w:after="100" w:afterAutospacing="1"/>
              <w:rPr>
                <w:sz w:val="22"/>
                <w:szCs w:val="22"/>
              </w:rPr>
            </w:pPr>
            <w:r w:rsidRPr="00BF5500">
              <w:rPr>
                <w:sz w:val="22"/>
                <w:szCs w:val="22"/>
              </w:rPr>
              <w:t>2027. gada 4. ceturksnis</w:t>
            </w:r>
          </w:p>
        </w:tc>
      </w:tr>
      <w:tr w:rsidR="00BF5500" w:rsidRPr="00BF5500" w14:paraId="6EAD921C" w14:textId="77777777" w:rsidTr="004A5902">
        <w:tc>
          <w:tcPr>
            <w:tcW w:w="846" w:type="dxa"/>
          </w:tcPr>
          <w:p w14:paraId="00068F22" w14:textId="77777777" w:rsidR="00BF5500" w:rsidRPr="00BF5500" w:rsidRDefault="00BF5500" w:rsidP="00BF5500">
            <w:pPr>
              <w:spacing w:before="100" w:beforeAutospacing="1" w:after="100" w:afterAutospacing="1"/>
              <w:rPr>
                <w:color w:val="FF0000"/>
                <w:sz w:val="22"/>
                <w:szCs w:val="22"/>
              </w:rPr>
            </w:pPr>
          </w:p>
        </w:tc>
        <w:tc>
          <w:tcPr>
            <w:tcW w:w="2640" w:type="dxa"/>
          </w:tcPr>
          <w:p w14:paraId="16ADB34B" w14:textId="77777777" w:rsidR="00BF5500" w:rsidRPr="00BF5500" w:rsidRDefault="00BF5500" w:rsidP="00BF5500">
            <w:pPr>
              <w:spacing w:before="100" w:beforeAutospacing="1" w:after="100" w:afterAutospacing="1"/>
              <w:rPr>
                <w:color w:val="FF0000"/>
                <w:sz w:val="22"/>
                <w:szCs w:val="22"/>
              </w:rPr>
            </w:pPr>
          </w:p>
        </w:tc>
        <w:tc>
          <w:tcPr>
            <w:tcW w:w="2638" w:type="dxa"/>
          </w:tcPr>
          <w:p w14:paraId="20C3F09B" w14:textId="461A94FC" w:rsidR="00BF5500" w:rsidRPr="00BF5500" w:rsidRDefault="001D03BE" w:rsidP="007E0EB0">
            <w:pPr>
              <w:spacing w:before="100" w:beforeAutospacing="1" w:after="100" w:afterAutospacing="1"/>
              <w:rPr>
                <w:sz w:val="22"/>
                <w:szCs w:val="22"/>
              </w:rPr>
            </w:pPr>
            <w:r>
              <w:rPr>
                <w:sz w:val="22"/>
                <w:szCs w:val="22"/>
              </w:rPr>
              <w:t>9.5</w:t>
            </w:r>
            <w:r w:rsidR="00514E07" w:rsidRPr="00514E07">
              <w:rPr>
                <w:sz w:val="22"/>
                <w:szCs w:val="22"/>
              </w:rPr>
              <w:t>.</w:t>
            </w:r>
            <w:r w:rsidR="00BF5500" w:rsidRPr="00BF5500">
              <w:rPr>
                <w:sz w:val="22"/>
                <w:szCs w:val="22"/>
              </w:rPr>
              <w:t xml:space="preserve">Veicinātas/pilnveidotas specifiskas zināšanas </w:t>
            </w:r>
            <w:r w:rsidR="00F968CF">
              <w:rPr>
                <w:sz w:val="22"/>
                <w:szCs w:val="22"/>
              </w:rPr>
              <w:t>veselības jautājumos atbilstoši dzimumu specifikai</w:t>
            </w:r>
          </w:p>
        </w:tc>
        <w:tc>
          <w:tcPr>
            <w:tcW w:w="2454" w:type="dxa"/>
            <w:gridSpan w:val="2"/>
          </w:tcPr>
          <w:p w14:paraId="17F23FD3" w14:textId="6219BA88" w:rsidR="00BF5500" w:rsidRPr="00BF5500" w:rsidRDefault="00E34D83" w:rsidP="007E0EB0">
            <w:pPr>
              <w:spacing w:before="100" w:beforeAutospacing="1" w:after="100" w:afterAutospacing="1"/>
              <w:rPr>
                <w:b/>
                <w:bCs/>
                <w:sz w:val="22"/>
                <w:szCs w:val="22"/>
              </w:rPr>
            </w:pPr>
            <w:r>
              <w:rPr>
                <w:b/>
                <w:bCs/>
                <w:sz w:val="22"/>
                <w:szCs w:val="22"/>
              </w:rPr>
              <w:t xml:space="preserve">Pilnveidojot un sagatavojot informatīvos materiālus un pasākumus tiek </w:t>
            </w:r>
            <w:r>
              <w:rPr>
                <w:b/>
                <w:bCs/>
                <w:sz w:val="22"/>
                <w:szCs w:val="22"/>
              </w:rPr>
              <w:lastRenderedPageBreak/>
              <w:t>ņemta vērtā dzimumu līdztiesības specifika</w:t>
            </w:r>
          </w:p>
        </w:tc>
        <w:tc>
          <w:tcPr>
            <w:tcW w:w="1350" w:type="dxa"/>
          </w:tcPr>
          <w:p w14:paraId="438736ED" w14:textId="40C744B2" w:rsidR="00BF5500" w:rsidRPr="00BF5500" w:rsidRDefault="00E34D83" w:rsidP="00BF5500">
            <w:pPr>
              <w:spacing w:before="100" w:beforeAutospacing="1" w:after="100" w:afterAutospacing="1"/>
              <w:rPr>
                <w:sz w:val="22"/>
                <w:szCs w:val="22"/>
              </w:rPr>
            </w:pPr>
            <w:r>
              <w:rPr>
                <w:sz w:val="22"/>
                <w:szCs w:val="22"/>
              </w:rPr>
              <w:lastRenderedPageBreak/>
              <w:t>SPKC/VM</w:t>
            </w:r>
          </w:p>
        </w:tc>
        <w:tc>
          <w:tcPr>
            <w:tcW w:w="1744" w:type="dxa"/>
          </w:tcPr>
          <w:p w14:paraId="3553018F" w14:textId="7942DEAC" w:rsidR="00BF5500" w:rsidRPr="00BF5500" w:rsidRDefault="00BF5500" w:rsidP="00BF5500">
            <w:pPr>
              <w:spacing w:before="100" w:beforeAutospacing="1" w:after="100" w:afterAutospacing="1"/>
              <w:rPr>
                <w:sz w:val="22"/>
                <w:szCs w:val="22"/>
              </w:rPr>
            </w:pPr>
            <w:r w:rsidRPr="00BF5500">
              <w:rPr>
                <w:sz w:val="22"/>
                <w:szCs w:val="22"/>
              </w:rPr>
              <w:t xml:space="preserve">LM, NVO </w:t>
            </w:r>
          </w:p>
        </w:tc>
        <w:tc>
          <w:tcPr>
            <w:tcW w:w="1747" w:type="dxa"/>
          </w:tcPr>
          <w:p w14:paraId="4C6F8E29" w14:textId="02F31EDE" w:rsidR="00BF5500" w:rsidRPr="00BF5500" w:rsidRDefault="00E34D83" w:rsidP="00BF5500">
            <w:pPr>
              <w:spacing w:before="100" w:beforeAutospacing="1" w:after="100" w:afterAutospacing="1"/>
              <w:rPr>
                <w:sz w:val="22"/>
                <w:szCs w:val="22"/>
              </w:rPr>
            </w:pPr>
            <w:r>
              <w:rPr>
                <w:sz w:val="22"/>
                <w:szCs w:val="22"/>
              </w:rPr>
              <w:t>2027. gada 4. ceturksnis</w:t>
            </w:r>
          </w:p>
        </w:tc>
      </w:tr>
      <w:tr w:rsidR="00BF5500" w:rsidRPr="00BF5500" w14:paraId="083FC66A" w14:textId="77777777" w:rsidTr="004A5902">
        <w:tc>
          <w:tcPr>
            <w:tcW w:w="846" w:type="dxa"/>
          </w:tcPr>
          <w:p w14:paraId="13CB2680" w14:textId="77777777" w:rsidR="00BF5500" w:rsidRPr="00BF5500" w:rsidRDefault="00BF5500" w:rsidP="00BF5500">
            <w:pPr>
              <w:spacing w:before="100" w:beforeAutospacing="1" w:after="100" w:afterAutospacing="1"/>
              <w:rPr>
                <w:rFonts w:cstheme="minorHAnsi"/>
                <w:sz w:val="22"/>
                <w:szCs w:val="22"/>
              </w:rPr>
            </w:pPr>
          </w:p>
        </w:tc>
        <w:tc>
          <w:tcPr>
            <w:tcW w:w="2640" w:type="dxa"/>
          </w:tcPr>
          <w:p w14:paraId="7390A662" w14:textId="20C4CA8C" w:rsidR="00BF5500" w:rsidRPr="00BF5500" w:rsidRDefault="00BF5500" w:rsidP="00BF5500">
            <w:pPr>
              <w:spacing w:before="100" w:beforeAutospacing="1" w:after="100" w:afterAutospacing="1"/>
              <w:rPr>
                <w:rFonts w:cstheme="minorHAnsi"/>
                <w:sz w:val="22"/>
                <w:szCs w:val="22"/>
              </w:rPr>
            </w:pPr>
          </w:p>
        </w:tc>
        <w:tc>
          <w:tcPr>
            <w:tcW w:w="2638" w:type="dxa"/>
          </w:tcPr>
          <w:p w14:paraId="0F4BEC0D" w14:textId="04D26510" w:rsidR="00BF5500" w:rsidRPr="00BF5500" w:rsidRDefault="001D03BE" w:rsidP="00F14C31">
            <w:pPr>
              <w:spacing w:before="100" w:beforeAutospacing="1" w:after="100" w:afterAutospacing="1"/>
              <w:jc w:val="both"/>
              <w:rPr>
                <w:rFonts w:cstheme="minorHAnsi"/>
                <w:sz w:val="22"/>
                <w:szCs w:val="22"/>
              </w:rPr>
            </w:pPr>
            <w:r>
              <w:rPr>
                <w:rFonts w:cstheme="minorHAnsi"/>
                <w:sz w:val="22"/>
                <w:szCs w:val="22"/>
              </w:rPr>
              <w:t>9.6</w:t>
            </w:r>
            <w:r w:rsidR="00514E07">
              <w:rPr>
                <w:rFonts w:cstheme="minorHAnsi"/>
                <w:sz w:val="22"/>
                <w:szCs w:val="22"/>
              </w:rPr>
              <w:t xml:space="preserve">. </w:t>
            </w:r>
            <w:r w:rsidR="00BF5500" w:rsidRPr="00BF5500">
              <w:rPr>
                <w:rFonts w:cstheme="minorHAnsi"/>
                <w:sz w:val="22"/>
                <w:szCs w:val="22"/>
              </w:rPr>
              <w:t>Veicināta jauniešu izpratne par  cieņpilnu attiecību veidošanu</w:t>
            </w:r>
          </w:p>
        </w:tc>
        <w:tc>
          <w:tcPr>
            <w:tcW w:w="2454" w:type="dxa"/>
            <w:gridSpan w:val="2"/>
          </w:tcPr>
          <w:p w14:paraId="6EAB584E" w14:textId="728482E6" w:rsidR="00BF5500" w:rsidRPr="00BF5500" w:rsidRDefault="00BF5500" w:rsidP="00F14C31">
            <w:pPr>
              <w:spacing w:before="100" w:beforeAutospacing="1" w:after="100" w:afterAutospacing="1"/>
              <w:jc w:val="both"/>
              <w:rPr>
                <w:rFonts w:cstheme="minorHAnsi"/>
                <w:sz w:val="22"/>
                <w:szCs w:val="22"/>
              </w:rPr>
            </w:pPr>
            <w:r w:rsidRPr="00BF5500">
              <w:rPr>
                <w:rFonts w:cstheme="minorHAnsi"/>
                <w:b/>
                <w:bCs/>
                <w:sz w:val="22"/>
                <w:szCs w:val="22"/>
              </w:rPr>
              <w:t>Īstenoti</w:t>
            </w:r>
            <w:r w:rsidR="00A70B92" w:rsidRPr="00A70B92">
              <w:rPr>
                <w:rFonts w:cstheme="minorHAnsi"/>
                <w:b/>
                <w:bCs/>
                <w:sz w:val="22"/>
                <w:szCs w:val="22"/>
              </w:rPr>
              <w:t xml:space="preserve"> neformālās izglītības un diskusiju pasākumi jauniešiem</w:t>
            </w:r>
            <w:r w:rsidR="00A70B92">
              <w:rPr>
                <w:rFonts w:cstheme="minorHAnsi"/>
                <w:sz w:val="22"/>
                <w:szCs w:val="22"/>
              </w:rPr>
              <w:t xml:space="preserve"> par cieņpilnu attiecību veidošanu dažādās Latvijas pilsētās</w:t>
            </w:r>
            <w:r w:rsidR="00BD7A9C">
              <w:rPr>
                <w:rStyle w:val="FootnoteReference"/>
                <w:rFonts w:cstheme="minorHAnsi"/>
                <w:sz w:val="22"/>
                <w:szCs w:val="22"/>
              </w:rPr>
              <w:footnoteReference w:id="38"/>
            </w:r>
          </w:p>
        </w:tc>
        <w:tc>
          <w:tcPr>
            <w:tcW w:w="1350" w:type="dxa"/>
          </w:tcPr>
          <w:p w14:paraId="3E67A145" w14:textId="77777777" w:rsidR="00BF5500" w:rsidRPr="00BF5500" w:rsidRDefault="00BF5500" w:rsidP="00BF5500">
            <w:pPr>
              <w:spacing w:before="100" w:beforeAutospacing="1" w:after="100" w:afterAutospacing="1"/>
              <w:rPr>
                <w:rFonts w:cstheme="minorHAnsi"/>
                <w:sz w:val="22"/>
                <w:szCs w:val="22"/>
              </w:rPr>
            </w:pPr>
            <w:r w:rsidRPr="00BF5500">
              <w:rPr>
                <w:rFonts w:cstheme="minorHAnsi"/>
                <w:sz w:val="22"/>
                <w:szCs w:val="22"/>
              </w:rPr>
              <w:t>LM</w:t>
            </w:r>
          </w:p>
        </w:tc>
        <w:tc>
          <w:tcPr>
            <w:tcW w:w="1744" w:type="dxa"/>
          </w:tcPr>
          <w:p w14:paraId="28A2B480" w14:textId="77777777" w:rsidR="00BF5500" w:rsidRPr="00BF5500" w:rsidRDefault="00BF5500" w:rsidP="00BF5500">
            <w:pPr>
              <w:spacing w:before="100" w:beforeAutospacing="1" w:after="100" w:afterAutospacing="1"/>
              <w:rPr>
                <w:rFonts w:cstheme="minorHAnsi"/>
                <w:sz w:val="22"/>
                <w:szCs w:val="22"/>
              </w:rPr>
            </w:pPr>
            <w:r w:rsidRPr="00BF5500">
              <w:rPr>
                <w:rFonts w:cstheme="minorHAnsi"/>
                <w:sz w:val="22"/>
                <w:szCs w:val="22"/>
              </w:rPr>
              <w:t>NVO</w:t>
            </w:r>
          </w:p>
        </w:tc>
        <w:tc>
          <w:tcPr>
            <w:tcW w:w="1747" w:type="dxa"/>
          </w:tcPr>
          <w:p w14:paraId="04F36394" w14:textId="77777777" w:rsidR="00BF5500" w:rsidRPr="00BF5500" w:rsidRDefault="00BF5500" w:rsidP="00BF5500">
            <w:pPr>
              <w:spacing w:before="100" w:beforeAutospacing="1" w:after="100" w:afterAutospacing="1"/>
              <w:rPr>
                <w:rFonts w:cstheme="minorHAnsi"/>
                <w:sz w:val="22"/>
                <w:szCs w:val="22"/>
              </w:rPr>
            </w:pPr>
            <w:r w:rsidRPr="00BF5500">
              <w:rPr>
                <w:rFonts w:cstheme="minorHAnsi"/>
                <w:sz w:val="22"/>
                <w:szCs w:val="22"/>
              </w:rPr>
              <w:t>2027. gada 4. ceturksnis</w:t>
            </w:r>
          </w:p>
        </w:tc>
      </w:tr>
      <w:tr w:rsidR="000C68A9" w:rsidRPr="00BF5500" w14:paraId="28FB3A09" w14:textId="77777777" w:rsidTr="004A5902">
        <w:tc>
          <w:tcPr>
            <w:tcW w:w="846" w:type="dxa"/>
          </w:tcPr>
          <w:p w14:paraId="331591FB" w14:textId="77777777" w:rsidR="000C68A9" w:rsidRPr="00BF5500" w:rsidRDefault="000C68A9" w:rsidP="00BF5500">
            <w:pPr>
              <w:spacing w:before="100" w:beforeAutospacing="1" w:after="100" w:afterAutospacing="1"/>
              <w:rPr>
                <w:rFonts w:cstheme="minorHAnsi"/>
                <w:sz w:val="22"/>
                <w:szCs w:val="22"/>
              </w:rPr>
            </w:pPr>
          </w:p>
        </w:tc>
        <w:tc>
          <w:tcPr>
            <w:tcW w:w="2640" w:type="dxa"/>
          </w:tcPr>
          <w:p w14:paraId="5D8E2A64" w14:textId="77777777" w:rsidR="000C68A9" w:rsidRPr="00BF5500" w:rsidRDefault="000C68A9" w:rsidP="00BF5500">
            <w:pPr>
              <w:spacing w:before="100" w:beforeAutospacing="1" w:after="100" w:afterAutospacing="1"/>
              <w:rPr>
                <w:rFonts w:cstheme="minorHAnsi"/>
                <w:sz w:val="22"/>
                <w:szCs w:val="22"/>
              </w:rPr>
            </w:pPr>
          </w:p>
        </w:tc>
        <w:tc>
          <w:tcPr>
            <w:tcW w:w="2638" w:type="dxa"/>
          </w:tcPr>
          <w:p w14:paraId="31FD20DC" w14:textId="084BB574" w:rsidR="000C68A9" w:rsidRPr="00D536AD" w:rsidRDefault="001D03BE" w:rsidP="00F14C31">
            <w:pPr>
              <w:spacing w:before="100" w:beforeAutospacing="1" w:after="100" w:afterAutospacing="1"/>
              <w:jc w:val="both"/>
              <w:rPr>
                <w:rFonts w:cstheme="minorHAnsi"/>
                <w:sz w:val="22"/>
                <w:szCs w:val="22"/>
              </w:rPr>
            </w:pPr>
            <w:r>
              <w:rPr>
                <w:rFonts w:cstheme="minorHAnsi"/>
                <w:sz w:val="22"/>
                <w:szCs w:val="22"/>
              </w:rPr>
              <w:t>9.7.</w:t>
            </w:r>
            <w:r w:rsidR="00563A4A" w:rsidRPr="00D647ED">
              <w:rPr>
                <w:rFonts w:cstheme="minorHAnsi"/>
                <w:sz w:val="22"/>
                <w:szCs w:val="22"/>
              </w:rPr>
              <w:t>Pārskatīts</w:t>
            </w:r>
            <w:r w:rsidR="000C68A9" w:rsidRPr="00D647ED">
              <w:rPr>
                <w:rFonts w:cstheme="minorHAnsi"/>
                <w:sz w:val="22"/>
                <w:szCs w:val="22"/>
              </w:rPr>
              <w:t xml:space="preserve"> mācību priekšmeta sociālās zinības 7.-9.klasei  programmas parauga satur</w:t>
            </w:r>
            <w:r w:rsidR="00563A4A" w:rsidRPr="00D647ED">
              <w:rPr>
                <w:rFonts w:cstheme="minorHAnsi"/>
                <w:sz w:val="22"/>
                <w:szCs w:val="22"/>
              </w:rPr>
              <w:t>s</w:t>
            </w:r>
            <w:r w:rsidR="000C68A9" w:rsidRPr="00D647ED">
              <w:rPr>
                <w:rFonts w:cstheme="minorHAnsi"/>
                <w:sz w:val="22"/>
                <w:szCs w:val="22"/>
              </w:rPr>
              <w:t>, lai papildinātu līdztiesībā un cieņā balstītu attiecību jautājumus</w:t>
            </w:r>
          </w:p>
        </w:tc>
        <w:tc>
          <w:tcPr>
            <w:tcW w:w="2454" w:type="dxa"/>
            <w:gridSpan w:val="2"/>
          </w:tcPr>
          <w:p w14:paraId="56E26C4A" w14:textId="4923E410" w:rsidR="000C68A9" w:rsidRPr="00D647ED" w:rsidRDefault="00D536AD" w:rsidP="00F14C31">
            <w:pPr>
              <w:spacing w:before="100" w:beforeAutospacing="1" w:after="100" w:afterAutospacing="1"/>
              <w:rPr>
                <w:rFonts w:cstheme="minorHAnsi"/>
                <w:sz w:val="22"/>
                <w:szCs w:val="22"/>
              </w:rPr>
            </w:pPr>
            <w:r w:rsidRPr="005A7FA4">
              <w:rPr>
                <w:rFonts w:cstheme="minorHAnsi"/>
                <w:b/>
                <w:bCs/>
                <w:sz w:val="22"/>
                <w:szCs w:val="22"/>
              </w:rPr>
              <w:t>Pilnveidots mācību priekšmeta sociālās zinības</w:t>
            </w:r>
            <w:r w:rsidRPr="00D647ED">
              <w:rPr>
                <w:rFonts w:cstheme="minorHAnsi"/>
                <w:sz w:val="22"/>
                <w:szCs w:val="22"/>
              </w:rPr>
              <w:t xml:space="preserve"> 7.-9.klasei programmas paraugs</w:t>
            </w:r>
          </w:p>
        </w:tc>
        <w:tc>
          <w:tcPr>
            <w:tcW w:w="1350" w:type="dxa"/>
          </w:tcPr>
          <w:p w14:paraId="476140F4" w14:textId="0CF1DC1C" w:rsidR="000C68A9" w:rsidRPr="00BF5500" w:rsidRDefault="00D536AD" w:rsidP="00BF5500">
            <w:pPr>
              <w:spacing w:before="100" w:beforeAutospacing="1" w:after="100" w:afterAutospacing="1"/>
              <w:rPr>
                <w:rFonts w:cstheme="minorHAnsi"/>
                <w:sz w:val="22"/>
                <w:szCs w:val="22"/>
              </w:rPr>
            </w:pPr>
            <w:r>
              <w:rPr>
                <w:rFonts w:cstheme="minorHAnsi"/>
                <w:sz w:val="22"/>
                <w:szCs w:val="22"/>
              </w:rPr>
              <w:t>IZM</w:t>
            </w:r>
          </w:p>
        </w:tc>
        <w:tc>
          <w:tcPr>
            <w:tcW w:w="1744" w:type="dxa"/>
          </w:tcPr>
          <w:p w14:paraId="7905A3F5" w14:textId="4F847FE2" w:rsidR="000C68A9" w:rsidRPr="00BF5500" w:rsidRDefault="00D536AD" w:rsidP="00BF5500">
            <w:pPr>
              <w:spacing w:before="100" w:beforeAutospacing="1" w:after="100" w:afterAutospacing="1"/>
              <w:rPr>
                <w:rFonts w:cstheme="minorHAnsi"/>
                <w:sz w:val="22"/>
                <w:szCs w:val="22"/>
              </w:rPr>
            </w:pPr>
            <w:r>
              <w:rPr>
                <w:rFonts w:cstheme="minorHAnsi"/>
                <w:sz w:val="22"/>
                <w:szCs w:val="22"/>
              </w:rPr>
              <w:t>LM</w:t>
            </w:r>
          </w:p>
        </w:tc>
        <w:tc>
          <w:tcPr>
            <w:tcW w:w="1747" w:type="dxa"/>
          </w:tcPr>
          <w:p w14:paraId="686FED9B" w14:textId="54129445" w:rsidR="000C68A9" w:rsidRPr="00BF5500" w:rsidRDefault="00D536AD" w:rsidP="00BF5500">
            <w:pPr>
              <w:spacing w:before="100" w:beforeAutospacing="1" w:after="100" w:afterAutospacing="1"/>
              <w:rPr>
                <w:rFonts w:cstheme="minorHAnsi"/>
                <w:sz w:val="22"/>
                <w:szCs w:val="22"/>
              </w:rPr>
            </w:pPr>
            <w:r>
              <w:rPr>
                <w:rFonts w:cstheme="minorHAnsi"/>
                <w:sz w:val="22"/>
                <w:szCs w:val="22"/>
              </w:rPr>
              <w:t>2025.gada 4.ceturksnis</w:t>
            </w:r>
          </w:p>
        </w:tc>
      </w:tr>
      <w:tr w:rsidR="007B3D43" w:rsidRPr="00BF5500" w14:paraId="56D9C73C" w14:textId="77777777" w:rsidTr="004A5902">
        <w:tc>
          <w:tcPr>
            <w:tcW w:w="846" w:type="dxa"/>
          </w:tcPr>
          <w:p w14:paraId="534943F0" w14:textId="20F34D62" w:rsidR="007B3D43" w:rsidRPr="00BF5500" w:rsidRDefault="001D03BE" w:rsidP="007B3D43">
            <w:pPr>
              <w:spacing w:before="100" w:beforeAutospacing="1" w:after="100" w:afterAutospacing="1"/>
              <w:rPr>
                <w:rFonts w:cstheme="minorHAnsi"/>
                <w:sz w:val="22"/>
                <w:szCs w:val="22"/>
              </w:rPr>
            </w:pPr>
            <w:r>
              <w:rPr>
                <w:rFonts w:cstheme="minorHAnsi"/>
                <w:sz w:val="22"/>
                <w:szCs w:val="22"/>
              </w:rPr>
              <w:t>10.</w:t>
            </w:r>
          </w:p>
        </w:tc>
        <w:tc>
          <w:tcPr>
            <w:tcW w:w="2640" w:type="dxa"/>
          </w:tcPr>
          <w:p w14:paraId="3CC03A9C" w14:textId="1E8D994C" w:rsidR="007B3D43" w:rsidRPr="00F14569" w:rsidRDefault="007B3D43" w:rsidP="007B3D43">
            <w:pPr>
              <w:spacing w:before="100" w:beforeAutospacing="1" w:after="100" w:afterAutospacing="1"/>
              <w:rPr>
                <w:rFonts w:cstheme="minorHAnsi"/>
                <w:sz w:val="22"/>
                <w:szCs w:val="22"/>
              </w:rPr>
            </w:pPr>
            <w:r w:rsidRPr="00D647ED">
              <w:rPr>
                <w:rFonts w:eastAsia="Times New Roman" w:cstheme="minorHAnsi"/>
                <w:color w:val="000000" w:themeColor="text1"/>
                <w:sz w:val="22"/>
                <w:szCs w:val="22"/>
              </w:rPr>
              <w:t xml:space="preserve">Dzimumu līdztiesības jautājumu aktualizēšana sportā </w:t>
            </w:r>
          </w:p>
        </w:tc>
        <w:tc>
          <w:tcPr>
            <w:tcW w:w="2638" w:type="dxa"/>
          </w:tcPr>
          <w:p w14:paraId="35954625" w14:textId="5C6E819C" w:rsidR="007B3D43" w:rsidRPr="00F14569" w:rsidRDefault="001D03BE" w:rsidP="00F14C31">
            <w:pPr>
              <w:spacing w:before="100" w:beforeAutospacing="1" w:after="100" w:afterAutospacing="1"/>
              <w:jc w:val="both"/>
              <w:rPr>
                <w:rFonts w:cstheme="minorHAnsi"/>
                <w:sz w:val="22"/>
                <w:szCs w:val="22"/>
                <w:highlight w:val="yellow"/>
              </w:rPr>
            </w:pPr>
            <w:r>
              <w:rPr>
                <w:rFonts w:eastAsia="Times New Roman" w:cstheme="minorHAnsi"/>
                <w:color w:val="000000" w:themeColor="text1"/>
                <w:sz w:val="22"/>
                <w:szCs w:val="22"/>
                <w:lang w:val="lv"/>
              </w:rPr>
              <w:t xml:space="preserve">10.1. </w:t>
            </w:r>
            <w:r w:rsidR="007B3D43" w:rsidRPr="00D647ED">
              <w:rPr>
                <w:rFonts w:eastAsia="Times New Roman" w:cstheme="minorHAnsi"/>
                <w:color w:val="000000" w:themeColor="text1"/>
                <w:sz w:val="22"/>
                <w:szCs w:val="22"/>
                <w:lang w:val="lv"/>
              </w:rPr>
              <w:t xml:space="preserve">Pārskatīta </w:t>
            </w:r>
            <w:r w:rsidR="002964C6" w:rsidRPr="00D647ED">
              <w:rPr>
                <w:rFonts w:eastAsia="Times New Roman" w:cstheme="minorHAnsi"/>
                <w:color w:val="000000" w:themeColor="text1"/>
                <w:sz w:val="22"/>
                <w:szCs w:val="22"/>
                <w:lang w:val="lv"/>
              </w:rPr>
              <w:t>s</w:t>
            </w:r>
            <w:r w:rsidR="007B3D43" w:rsidRPr="00D647ED">
              <w:rPr>
                <w:rFonts w:eastAsia="Times New Roman" w:cstheme="minorHAnsi"/>
                <w:color w:val="000000" w:themeColor="text1"/>
                <w:sz w:val="22"/>
                <w:szCs w:val="22"/>
                <w:lang w:val="lv"/>
              </w:rPr>
              <w:t>porta speciālistu sertifikācijas kārtība</w:t>
            </w:r>
            <w:r w:rsidR="00AB5E80" w:rsidRPr="00D647ED">
              <w:rPr>
                <w:rFonts w:eastAsia="Times New Roman" w:cstheme="minorHAnsi"/>
                <w:color w:val="000000" w:themeColor="text1"/>
                <w:sz w:val="22"/>
                <w:szCs w:val="22"/>
                <w:lang w:val="lv"/>
              </w:rPr>
              <w:t xml:space="preserve">, nosakot papildus </w:t>
            </w:r>
            <w:r w:rsidR="002964C6" w:rsidRPr="00D647ED">
              <w:rPr>
                <w:rFonts w:eastAsia="Times New Roman" w:cstheme="minorHAnsi"/>
                <w:color w:val="000000" w:themeColor="text1"/>
                <w:sz w:val="22"/>
                <w:szCs w:val="22"/>
                <w:lang w:val="lv"/>
              </w:rPr>
              <w:t>apgūstamo jautājumu lok</w:t>
            </w:r>
            <w:r w:rsidR="00AB5E80" w:rsidRPr="00D647ED">
              <w:rPr>
                <w:rFonts w:eastAsia="Times New Roman" w:cstheme="minorHAnsi"/>
                <w:color w:val="000000" w:themeColor="text1"/>
                <w:sz w:val="22"/>
                <w:szCs w:val="22"/>
                <w:lang w:val="lv"/>
              </w:rPr>
              <w:t>u</w:t>
            </w:r>
          </w:p>
        </w:tc>
        <w:tc>
          <w:tcPr>
            <w:tcW w:w="2454" w:type="dxa"/>
            <w:gridSpan w:val="2"/>
          </w:tcPr>
          <w:p w14:paraId="3AB0BA41" w14:textId="3BC3C515" w:rsidR="007B3D43" w:rsidRPr="007B3D43" w:rsidRDefault="002964C6" w:rsidP="00F14C31">
            <w:pPr>
              <w:spacing w:before="100" w:beforeAutospacing="1" w:after="100" w:afterAutospacing="1"/>
              <w:jc w:val="both"/>
              <w:rPr>
                <w:rFonts w:cstheme="minorHAnsi"/>
                <w:sz w:val="22"/>
                <w:szCs w:val="22"/>
              </w:rPr>
            </w:pPr>
            <w:r w:rsidRPr="005A7FA4">
              <w:rPr>
                <w:rFonts w:ascii="Calibri" w:eastAsia="Calibri" w:hAnsi="Calibri" w:cs="Calibri"/>
                <w:b/>
                <w:bCs/>
                <w:color w:val="000000" w:themeColor="text1"/>
                <w:sz w:val="22"/>
                <w:szCs w:val="22"/>
                <w:lang w:val="lv"/>
              </w:rPr>
              <w:t xml:space="preserve">Veikti </w:t>
            </w:r>
            <w:r w:rsidR="007B3D43" w:rsidRPr="005A7FA4">
              <w:rPr>
                <w:rFonts w:ascii="Calibri" w:eastAsia="Calibri" w:hAnsi="Calibri" w:cs="Calibri"/>
                <w:b/>
                <w:bCs/>
                <w:color w:val="000000" w:themeColor="text1"/>
                <w:sz w:val="22"/>
                <w:szCs w:val="22"/>
                <w:lang w:val="lv"/>
              </w:rPr>
              <w:t>Grozījumi</w:t>
            </w:r>
            <w:r w:rsidR="007B3D43" w:rsidRPr="1CA42B8F">
              <w:rPr>
                <w:rFonts w:ascii="Calibri" w:eastAsia="Calibri" w:hAnsi="Calibri" w:cs="Calibri"/>
                <w:color w:val="000000" w:themeColor="text1"/>
                <w:sz w:val="22"/>
                <w:szCs w:val="22"/>
                <w:lang w:val="lv"/>
              </w:rPr>
              <w:t xml:space="preserve"> “Noteikumi par sporta speciālistu sertifikācijas kārtību un sporta speciālistam noteiktajām prasībām” </w:t>
            </w:r>
          </w:p>
        </w:tc>
        <w:tc>
          <w:tcPr>
            <w:tcW w:w="1350" w:type="dxa"/>
          </w:tcPr>
          <w:p w14:paraId="28E62E06" w14:textId="10626DEC" w:rsidR="007B3D43" w:rsidRDefault="007B3D43" w:rsidP="007B3D43">
            <w:pPr>
              <w:spacing w:before="100" w:beforeAutospacing="1" w:after="100" w:afterAutospacing="1"/>
              <w:rPr>
                <w:rFonts w:cstheme="minorHAnsi"/>
                <w:sz w:val="22"/>
                <w:szCs w:val="22"/>
              </w:rPr>
            </w:pPr>
            <w:r w:rsidRPr="1CA42B8F">
              <w:rPr>
                <w:rFonts w:ascii="Calibri" w:eastAsia="Calibri" w:hAnsi="Calibri" w:cs="Calibri"/>
                <w:color w:val="000000" w:themeColor="text1"/>
                <w:sz w:val="22"/>
                <w:szCs w:val="22"/>
              </w:rPr>
              <w:t>IZM</w:t>
            </w:r>
          </w:p>
        </w:tc>
        <w:tc>
          <w:tcPr>
            <w:tcW w:w="1744" w:type="dxa"/>
          </w:tcPr>
          <w:p w14:paraId="218070ED" w14:textId="2B1FBD8B" w:rsidR="007B3D43" w:rsidRDefault="007B3D43" w:rsidP="007B3D43">
            <w:pPr>
              <w:spacing w:before="100" w:beforeAutospacing="1" w:after="100" w:afterAutospacing="1"/>
              <w:rPr>
                <w:rFonts w:cstheme="minorHAnsi"/>
                <w:sz w:val="22"/>
                <w:szCs w:val="22"/>
              </w:rPr>
            </w:pPr>
            <w:r w:rsidRPr="1CA42B8F">
              <w:rPr>
                <w:rFonts w:ascii="Calibri" w:eastAsia="Calibri" w:hAnsi="Calibri" w:cs="Calibri"/>
                <w:color w:val="000000" w:themeColor="text1"/>
                <w:sz w:val="22"/>
                <w:szCs w:val="22"/>
              </w:rPr>
              <w:t>LSFP</w:t>
            </w:r>
          </w:p>
        </w:tc>
        <w:tc>
          <w:tcPr>
            <w:tcW w:w="1747" w:type="dxa"/>
          </w:tcPr>
          <w:p w14:paraId="5778F848" w14:textId="3E445989" w:rsidR="007B3D43" w:rsidRDefault="007B3D43" w:rsidP="007B3D43">
            <w:pPr>
              <w:spacing w:before="100" w:beforeAutospacing="1" w:after="100" w:afterAutospacing="1"/>
              <w:rPr>
                <w:rFonts w:cstheme="minorHAnsi"/>
                <w:sz w:val="22"/>
                <w:szCs w:val="22"/>
              </w:rPr>
            </w:pPr>
            <w:r w:rsidRPr="1CA42B8F">
              <w:rPr>
                <w:rFonts w:ascii="Calibri" w:eastAsia="Calibri" w:hAnsi="Calibri" w:cs="Calibri"/>
                <w:color w:val="000000" w:themeColor="text1"/>
                <w:sz w:val="22"/>
                <w:szCs w:val="22"/>
              </w:rPr>
              <w:t xml:space="preserve">2024. </w:t>
            </w:r>
            <w:r w:rsidR="00E9101B">
              <w:rPr>
                <w:rFonts w:ascii="Calibri" w:eastAsia="Calibri" w:hAnsi="Calibri" w:cs="Calibri"/>
                <w:color w:val="000000" w:themeColor="text1"/>
                <w:sz w:val="22"/>
                <w:szCs w:val="22"/>
              </w:rPr>
              <w:t>g</w:t>
            </w:r>
            <w:r w:rsidRPr="1CA42B8F">
              <w:rPr>
                <w:rFonts w:ascii="Calibri" w:eastAsia="Calibri" w:hAnsi="Calibri" w:cs="Calibri"/>
                <w:color w:val="000000" w:themeColor="text1"/>
                <w:sz w:val="22"/>
                <w:szCs w:val="22"/>
              </w:rPr>
              <w:t>ada 1. pusgads</w:t>
            </w:r>
          </w:p>
        </w:tc>
      </w:tr>
      <w:tr w:rsidR="00AB5E80" w:rsidRPr="00BF5500" w14:paraId="6A06127C" w14:textId="77777777" w:rsidTr="004A5902">
        <w:tc>
          <w:tcPr>
            <w:tcW w:w="846" w:type="dxa"/>
          </w:tcPr>
          <w:p w14:paraId="16FA5606" w14:textId="77777777" w:rsidR="00AB5E80" w:rsidRPr="00BF5500" w:rsidRDefault="00AB5E80" w:rsidP="00AB5E80">
            <w:pPr>
              <w:spacing w:before="100" w:beforeAutospacing="1" w:after="100" w:afterAutospacing="1"/>
              <w:rPr>
                <w:rFonts w:cstheme="minorHAnsi"/>
                <w:sz w:val="22"/>
                <w:szCs w:val="22"/>
              </w:rPr>
            </w:pPr>
          </w:p>
        </w:tc>
        <w:tc>
          <w:tcPr>
            <w:tcW w:w="2640" w:type="dxa"/>
          </w:tcPr>
          <w:p w14:paraId="1CC2EC57" w14:textId="5238C51F" w:rsidR="00AB5E80" w:rsidRPr="1CA42B8F" w:rsidRDefault="00AB5E80" w:rsidP="00AB5E80">
            <w:pPr>
              <w:spacing w:before="100" w:beforeAutospacing="1" w:after="100" w:afterAutospacing="1"/>
              <w:rPr>
                <w:rFonts w:ascii="Times New Roman" w:eastAsia="Times New Roman" w:hAnsi="Times New Roman" w:cs="Times New Roman"/>
                <w:color w:val="000000" w:themeColor="text1"/>
              </w:rPr>
            </w:pPr>
          </w:p>
        </w:tc>
        <w:tc>
          <w:tcPr>
            <w:tcW w:w="2638" w:type="dxa"/>
          </w:tcPr>
          <w:p w14:paraId="7CF17601" w14:textId="6AA675B5" w:rsidR="00AB5E80" w:rsidRDefault="001D03BE" w:rsidP="00F14C31">
            <w:pPr>
              <w:spacing w:before="100" w:beforeAutospacing="1" w:after="100" w:afterAutospacing="1"/>
              <w:jc w:val="both"/>
              <w:rPr>
                <w:rFonts w:ascii="Times New Roman" w:eastAsia="Times New Roman" w:hAnsi="Times New Roman" w:cs="Times New Roman"/>
                <w:color w:val="000000" w:themeColor="text1"/>
                <w:sz w:val="22"/>
                <w:szCs w:val="22"/>
                <w:lang w:val="lv"/>
              </w:rPr>
            </w:pPr>
            <w:r>
              <w:rPr>
                <w:rFonts w:ascii="Calibri" w:eastAsia="Calibri" w:hAnsi="Calibri" w:cs="Calibri"/>
                <w:color w:val="000000" w:themeColor="text1"/>
                <w:sz w:val="22"/>
                <w:szCs w:val="22"/>
                <w:lang w:val="lv"/>
              </w:rPr>
              <w:t xml:space="preserve">10.2. </w:t>
            </w:r>
            <w:r w:rsidR="00AB5E80">
              <w:rPr>
                <w:rFonts w:ascii="Calibri" w:eastAsia="Calibri" w:hAnsi="Calibri" w:cs="Calibri"/>
                <w:color w:val="000000" w:themeColor="text1"/>
                <w:sz w:val="22"/>
                <w:szCs w:val="22"/>
                <w:lang w:val="lv"/>
              </w:rPr>
              <w:t>Stiprināta s</w:t>
            </w:r>
            <w:r w:rsidR="00AB5E80" w:rsidRPr="1CA42B8F">
              <w:rPr>
                <w:rFonts w:ascii="Calibri" w:eastAsia="Calibri" w:hAnsi="Calibri" w:cs="Calibri"/>
                <w:color w:val="000000" w:themeColor="text1"/>
                <w:sz w:val="22"/>
                <w:szCs w:val="22"/>
                <w:lang w:val="lv"/>
              </w:rPr>
              <w:t>porta mediju profesionāļu un studentu izpratne</w:t>
            </w:r>
            <w:r w:rsidR="00AB5E80">
              <w:rPr>
                <w:rFonts w:ascii="Calibri" w:eastAsia="Calibri" w:hAnsi="Calibri" w:cs="Calibri"/>
                <w:color w:val="000000" w:themeColor="text1"/>
                <w:sz w:val="22"/>
                <w:szCs w:val="22"/>
                <w:lang w:val="lv"/>
              </w:rPr>
              <w:t xml:space="preserve"> </w:t>
            </w:r>
            <w:r w:rsidR="00AB5E80" w:rsidRPr="1CA42B8F">
              <w:rPr>
                <w:rFonts w:ascii="Calibri" w:eastAsia="Calibri" w:hAnsi="Calibri" w:cs="Calibri"/>
                <w:color w:val="000000" w:themeColor="text1"/>
                <w:sz w:val="22"/>
                <w:szCs w:val="22"/>
                <w:lang w:val="lv"/>
              </w:rPr>
              <w:t>par dzimumu līdztiesību un tās lomu demokrātiskā sabiedrībā</w:t>
            </w:r>
            <w:r w:rsidR="00793781">
              <w:rPr>
                <w:rFonts w:ascii="Calibri" w:eastAsia="Calibri" w:hAnsi="Calibri" w:cs="Calibri"/>
                <w:color w:val="000000" w:themeColor="text1"/>
                <w:sz w:val="22"/>
                <w:szCs w:val="22"/>
                <w:lang w:val="lv"/>
              </w:rPr>
              <w:t xml:space="preserve"> </w:t>
            </w:r>
          </w:p>
        </w:tc>
        <w:tc>
          <w:tcPr>
            <w:tcW w:w="2454" w:type="dxa"/>
            <w:gridSpan w:val="2"/>
          </w:tcPr>
          <w:p w14:paraId="277CEBED" w14:textId="77777777" w:rsidR="00AB5E80" w:rsidRDefault="00793781" w:rsidP="00F14C31">
            <w:pPr>
              <w:spacing w:before="100" w:beforeAutospacing="1" w:after="100" w:afterAutospacing="1"/>
              <w:jc w:val="both"/>
              <w:rPr>
                <w:rFonts w:ascii="Calibri" w:eastAsia="Calibri" w:hAnsi="Calibri" w:cs="Calibri"/>
                <w:color w:val="000000" w:themeColor="text1"/>
                <w:sz w:val="22"/>
                <w:szCs w:val="22"/>
                <w:lang w:val="lv"/>
              </w:rPr>
            </w:pPr>
            <w:r>
              <w:rPr>
                <w:rFonts w:ascii="Calibri" w:eastAsia="Calibri" w:hAnsi="Calibri" w:cs="Calibri"/>
                <w:color w:val="000000" w:themeColor="text1"/>
                <w:sz w:val="22"/>
                <w:szCs w:val="22"/>
                <w:lang w:val="lv"/>
              </w:rPr>
              <w:t xml:space="preserve">Īstenoti </w:t>
            </w:r>
            <w:r w:rsidRPr="00D31EB0">
              <w:rPr>
                <w:rFonts w:ascii="Calibri" w:eastAsia="Calibri" w:hAnsi="Calibri" w:cs="Calibri"/>
                <w:b/>
                <w:bCs/>
                <w:color w:val="000000" w:themeColor="text1"/>
                <w:sz w:val="22"/>
                <w:szCs w:val="22"/>
                <w:lang w:val="lv"/>
              </w:rPr>
              <w:t>izglītojoši pasākumi</w:t>
            </w:r>
          </w:p>
          <w:p w14:paraId="5649119A" w14:textId="1C4E6FED" w:rsidR="00C82C3E" w:rsidRDefault="00C82C3E" w:rsidP="00F14C31">
            <w:pPr>
              <w:spacing w:before="100" w:beforeAutospacing="1" w:after="100" w:afterAutospacing="1"/>
              <w:jc w:val="both"/>
              <w:rPr>
                <w:rFonts w:ascii="Calibri" w:eastAsia="Calibri" w:hAnsi="Calibri" w:cs="Calibri"/>
                <w:color w:val="000000" w:themeColor="text1"/>
                <w:sz w:val="22"/>
                <w:szCs w:val="22"/>
                <w:lang w:val="lv"/>
              </w:rPr>
            </w:pPr>
            <w:r>
              <w:rPr>
                <w:rFonts w:ascii="Calibri" w:eastAsia="Calibri" w:hAnsi="Calibri" w:cs="Calibri"/>
                <w:color w:val="000000" w:themeColor="text1"/>
                <w:sz w:val="22"/>
                <w:szCs w:val="22"/>
                <w:lang w:val="lv"/>
              </w:rPr>
              <w:t>Pārņemtas un praksē piemērotas paraugprakses</w:t>
            </w:r>
          </w:p>
        </w:tc>
        <w:tc>
          <w:tcPr>
            <w:tcW w:w="1350" w:type="dxa"/>
          </w:tcPr>
          <w:p w14:paraId="4C3529EB" w14:textId="314B3F7C" w:rsidR="00AB5E80" w:rsidRPr="1CA42B8F" w:rsidRDefault="00793781" w:rsidP="00AB5E80">
            <w:pPr>
              <w:spacing w:before="100" w:beforeAutospacing="1" w:after="100" w:afterAutospacing="1"/>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IZM </w:t>
            </w:r>
          </w:p>
        </w:tc>
        <w:tc>
          <w:tcPr>
            <w:tcW w:w="1744" w:type="dxa"/>
          </w:tcPr>
          <w:p w14:paraId="2E960892" w14:textId="327D5717" w:rsidR="00AB5E80" w:rsidRPr="1CA42B8F" w:rsidRDefault="00AB5E80" w:rsidP="00AB5E80">
            <w:pPr>
              <w:spacing w:before="100" w:beforeAutospacing="1" w:after="100" w:afterAutospacing="1"/>
              <w:rPr>
                <w:rFonts w:ascii="Calibri" w:eastAsia="Calibri" w:hAnsi="Calibri" w:cs="Calibri"/>
                <w:color w:val="000000" w:themeColor="text1"/>
                <w:sz w:val="22"/>
                <w:szCs w:val="22"/>
              </w:rPr>
            </w:pPr>
          </w:p>
        </w:tc>
        <w:tc>
          <w:tcPr>
            <w:tcW w:w="1747" w:type="dxa"/>
          </w:tcPr>
          <w:p w14:paraId="4CD3879B" w14:textId="0D82C974" w:rsidR="00AB5E80" w:rsidRPr="1CA42B8F" w:rsidRDefault="00793781" w:rsidP="00AB5E80">
            <w:pPr>
              <w:spacing w:before="100" w:beforeAutospacing="1" w:after="100" w:afterAutospacing="1"/>
              <w:rPr>
                <w:rFonts w:ascii="Calibri" w:eastAsia="Calibri" w:hAnsi="Calibri" w:cs="Calibri"/>
                <w:color w:val="000000" w:themeColor="text1"/>
                <w:sz w:val="22"/>
                <w:szCs w:val="22"/>
              </w:rPr>
            </w:pPr>
            <w:r w:rsidRPr="1CA42B8F">
              <w:rPr>
                <w:rFonts w:ascii="Calibri" w:eastAsia="Calibri" w:hAnsi="Calibri" w:cs="Calibri"/>
                <w:color w:val="000000" w:themeColor="text1"/>
                <w:sz w:val="22"/>
                <w:szCs w:val="22"/>
              </w:rPr>
              <w:t>Pastāvīgi</w:t>
            </w:r>
          </w:p>
        </w:tc>
      </w:tr>
    </w:tbl>
    <w:p w14:paraId="09C4DB31" w14:textId="77777777" w:rsidR="00BF5500" w:rsidRPr="00BF5500" w:rsidRDefault="00BF5500" w:rsidP="005F6E4D">
      <w:pPr>
        <w:spacing w:before="100" w:beforeAutospacing="1" w:after="100" w:afterAutospacing="1" w:line="259" w:lineRule="auto"/>
        <w:rPr>
          <w:b/>
          <w:bCs/>
          <w:sz w:val="22"/>
          <w:szCs w:val="22"/>
        </w:rPr>
      </w:pPr>
    </w:p>
    <w:p w14:paraId="0D509D91" w14:textId="24405F40" w:rsidR="00DE430E" w:rsidRPr="00DB7783" w:rsidRDefault="007C2047" w:rsidP="00753A30">
      <w:pPr>
        <w:pStyle w:val="ListParagraph"/>
        <w:numPr>
          <w:ilvl w:val="0"/>
          <w:numId w:val="2"/>
        </w:numPr>
        <w:spacing w:before="100" w:beforeAutospacing="1" w:after="100" w:afterAutospacing="1" w:line="259" w:lineRule="auto"/>
        <w:rPr>
          <w:b/>
          <w:bCs/>
        </w:rPr>
      </w:pPr>
      <w:r w:rsidRPr="00DB7783">
        <w:rPr>
          <w:b/>
          <w:bCs/>
        </w:rPr>
        <w:lastRenderedPageBreak/>
        <w:t xml:space="preserve">Rīcības </w:t>
      </w:r>
      <w:r w:rsidR="00BF5500" w:rsidRPr="00DB7783">
        <w:rPr>
          <w:b/>
          <w:bCs/>
        </w:rPr>
        <w:t>virziens: Dzimumu līdztiesības principa integrēšana politikas plānošanas procesos</w:t>
      </w:r>
    </w:p>
    <w:p w14:paraId="0F588BB6" w14:textId="1EE6C27C" w:rsidR="00CC2005" w:rsidRPr="00D33C8E" w:rsidRDefault="00CC2005" w:rsidP="00753A30">
      <w:pPr>
        <w:spacing w:before="120" w:after="120" w:line="264" w:lineRule="auto"/>
        <w:jc w:val="both"/>
        <w:rPr>
          <w:rFonts w:cstheme="minorHAnsi"/>
        </w:rPr>
      </w:pPr>
      <w:r w:rsidRPr="00D33C8E">
        <w:rPr>
          <w:rFonts w:cstheme="minorHAnsi"/>
        </w:rPr>
        <w:t>Dzimumu līdztiesības principa veiksmīga integrācija politikas plānošanas un budžeta procesos ir būtiska, lai veicinātu dzimumu līdztiesības izpratni un mazinātu nevienlīdzību starp vīriešiem un sievietēm praksē. Dzimumu līdztiesības aspekta un</w:t>
      </w:r>
      <w:r w:rsidR="00D55624" w:rsidRPr="00D33C8E">
        <w:rPr>
          <w:rFonts w:cstheme="minorHAnsi"/>
        </w:rPr>
        <w:t xml:space="preserve"> savstarpēji ietekmējošu faktoru integrācija </w:t>
      </w:r>
      <w:r w:rsidRPr="00D33C8E">
        <w:rPr>
          <w:rFonts w:cstheme="minorHAnsi"/>
        </w:rPr>
        <w:t>dažādās rīcībpolitikas jomās ir arī Eiropas Komisijas Dzimumu līdztiesības stratēģijas viens no galvenajiem rīcības virzieniem. Īpašs uzsvars dzimumu līdztiesības aspekta integrācijai tika pievērsts Eiropas Savienības Padomes Zviedrijas prezidentūras laikā, izstrādājot un apstiprinot Padomes secinājumus par dzimumu līdztiesības perspektīvas iekļaušanu politikas jomās, programmās un budžetā</w:t>
      </w:r>
      <w:r w:rsidRPr="00D33C8E">
        <w:rPr>
          <w:rFonts w:cstheme="minorHAnsi"/>
          <w:vertAlign w:val="superscript"/>
        </w:rPr>
        <w:footnoteReference w:id="39"/>
      </w:r>
      <w:r w:rsidRPr="00D33C8E">
        <w:rPr>
          <w:rFonts w:cstheme="minorHAnsi"/>
        </w:rPr>
        <w:t xml:space="preserve">, kuru ietvaros ES dalībvalstis tiek aicinātas pastiprināt centienus veicināt dzimumu līdztiesību un dzimumu līdztiesības aspekta integrēšanu, izmantojot institucionālus mehānismus visos līmeņos, tostarp reģionālā un vietējā līmenī, nodrošinot, ka dzimumu līdztiesības aspekta integrēšana tiek efektīvi īstenota, pamatojoties uz visas valdības pieeju un visā publiskajā politikā, kā arī nodrošinot starpministriju koordināciju attiecībā uz dzimumu līdztiesības aspekta </w:t>
      </w:r>
      <w:r w:rsidR="00B725EA" w:rsidRPr="00D33C8E">
        <w:rPr>
          <w:rFonts w:cstheme="minorHAnsi"/>
        </w:rPr>
        <w:t xml:space="preserve">ņemšanu vērā visos </w:t>
      </w:r>
      <w:r w:rsidR="00481F25" w:rsidRPr="00D33C8E">
        <w:rPr>
          <w:rFonts w:cstheme="minorHAnsi"/>
        </w:rPr>
        <w:t>politikas veidošanas, īstenošanas un uzraudzības posmos</w:t>
      </w:r>
      <w:r w:rsidRPr="00D33C8E">
        <w:rPr>
          <w:rFonts w:cstheme="minorHAnsi"/>
        </w:rPr>
        <w:t>.</w:t>
      </w:r>
    </w:p>
    <w:p w14:paraId="272FF2F1" w14:textId="428417E7" w:rsidR="000942CC" w:rsidRPr="00D33C8E" w:rsidRDefault="000942CC" w:rsidP="00753A30">
      <w:pPr>
        <w:spacing w:before="120" w:after="120" w:line="264" w:lineRule="auto"/>
        <w:jc w:val="both"/>
        <w:rPr>
          <w:rFonts w:cstheme="minorHAnsi"/>
        </w:rPr>
      </w:pPr>
      <w:r w:rsidRPr="00D33C8E">
        <w:rPr>
          <w:rFonts w:cstheme="minorHAnsi"/>
        </w:rPr>
        <w:t>Galvenie izaicinājumi Latvijā veiksmīgai dzimumu līdztiesības principa integrēšanai politikas plānošanas procesos ir:</w:t>
      </w:r>
    </w:p>
    <w:p w14:paraId="25824557" w14:textId="7AB887C7" w:rsidR="000942CC" w:rsidRPr="00D33C8E" w:rsidRDefault="008562C8" w:rsidP="00753A30">
      <w:pPr>
        <w:pStyle w:val="ListParagraph"/>
        <w:numPr>
          <w:ilvl w:val="0"/>
          <w:numId w:val="4"/>
        </w:numPr>
        <w:spacing w:before="120" w:after="120" w:line="264" w:lineRule="auto"/>
        <w:contextualSpacing w:val="0"/>
        <w:jc w:val="both"/>
        <w:rPr>
          <w:rFonts w:cstheme="minorHAnsi"/>
        </w:rPr>
      </w:pPr>
      <w:r w:rsidRPr="00D33C8E">
        <w:rPr>
          <w:rFonts w:cstheme="minorHAnsi"/>
        </w:rPr>
        <w:t>Regulār</w:t>
      </w:r>
      <w:r w:rsidR="006866C9" w:rsidRPr="00D33C8E">
        <w:rPr>
          <w:rFonts w:cstheme="minorHAnsi"/>
        </w:rPr>
        <w:t>a un sistemātiska</w:t>
      </w:r>
      <w:r w:rsidRPr="00D33C8E">
        <w:rPr>
          <w:rFonts w:cstheme="minorHAnsi"/>
        </w:rPr>
        <w:t xml:space="preserve"> ministriju un citu valsts pārvaldes iestāžu darbinieku apmācīb</w:t>
      </w:r>
      <w:r w:rsidR="006866C9" w:rsidRPr="00D33C8E">
        <w:rPr>
          <w:rFonts w:cstheme="minorHAnsi"/>
        </w:rPr>
        <w:t>a</w:t>
      </w:r>
      <w:r w:rsidRPr="00D33C8E">
        <w:rPr>
          <w:rFonts w:cstheme="minorHAnsi"/>
        </w:rPr>
        <w:t xml:space="preserve"> dzimumu līdztiesības principa integrēšanā dažādās politikas jomās un praksē;</w:t>
      </w:r>
    </w:p>
    <w:p w14:paraId="0A380C65" w14:textId="566B0D50" w:rsidR="008562C8" w:rsidRPr="00D33C8E" w:rsidRDefault="008562C8" w:rsidP="00753A30">
      <w:pPr>
        <w:pStyle w:val="ListParagraph"/>
        <w:numPr>
          <w:ilvl w:val="0"/>
          <w:numId w:val="4"/>
        </w:numPr>
        <w:spacing w:before="120" w:after="120" w:line="264" w:lineRule="auto"/>
        <w:contextualSpacing w:val="0"/>
        <w:jc w:val="both"/>
        <w:rPr>
          <w:rFonts w:cstheme="minorHAnsi"/>
        </w:rPr>
      </w:pPr>
      <w:r w:rsidRPr="00D33C8E">
        <w:rPr>
          <w:rFonts w:cstheme="minorHAnsi"/>
        </w:rPr>
        <w:t xml:space="preserve">Metodiskā un konsultatīvā atbalsta par sieviešu un vīriešu vienlīdzīgu </w:t>
      </w:r>
      <w:r w:rsidR="00234483" w:rsidRPr="00D33C8E">
        <w:rPr>
          <w:rFonts w:cstheme="minorHAnsi"/>
        </w:rPr>
        <w:t>tiesību un iespēju principu integrēšanu politikas un budžeta plānošanā</w:t>
      </w:r>
      <w:r w:rsidR="00291738" w:rsidRPr="00D33C8E">
        <w:rPr>
          <w:rFonts w:cstheme="minorHAnsi"/>
        </w:rPr>
        <w:t xml:space="preserve"> pieejamība</w:t>
      </w:r>
      <w:r w:rsidR="00234483" w:rsidRPr="00D33C8E">
        <w:rPr>
          <w:rFonts w:cstheme="minorHAnsi"/>
        </w:rPr>
        <w:t>;</w:t>
      </w:r>
    </w:p>
    <w:p w14:paraId="6190F28E" w14:textId="09604755" w:rsidR="00234483" w:rsidRPr="00D33C8E" w:rsidRDefault="00234483" w:rsidP="00753A30">
      <w:pPr>
        <w:pStyle w:val="ListParagraph"/>
        <w:numPr>
          <w:ilvl w:val="0"/>
          <w:numId w:val="4"/>
        </w:numPr>
        <w:spacing w:before="120" w:after="120" w:line="264" w:lineRule="auto"/>
        <w:contextualSpacing w:val="0"/>
        <w:jc w:val="both"/>
        <w:rPr>
          <w:rFonts w:cstheme="minorHAnsi"/>
        </w:rPr>
      </w:pPr>
      <w:r w:rsidRPr="00D33C8E">
        <w:rPr>
          <w:rFonts w:cstheme="minorHAnsi"/>
        </w:rPr>
        <w:t>Dzimumu līdztiesības principa kā horizontāla apsvēruma iekļaušana visos politikas plānošanas un budžeta plānošanas procesos, lai izvairītos no vispārinātas un formālas pieejas šī principa integrēšanā;</w:t>
      </w:r>
    </w:p>
    <w:p w14:paraId="18F72390" w14:textId="225E7ABB" w:rsidR="00E77F34" w:rsidRPr="00D33C8E" w:rsidRDefault="00E77F34" w:rsidP="00753A30">
      <w:pPr>
        <w:pStyle w:val="ListParagraph"/>
        <w:numPr>
          <w:ilvl w:val="0"/>
          <w:numId w:val="4"/>
        </w:numPr>
        <w:spacing w:before="120" w:after="120" w:line="264" w:lineRule="auto"/>
        <w:contextualSpacing w:val="0"/>
        <w:jc w:val="both"/>
        <w:rPr>
          <w:rFonts w:cstheme="minorHAnsi"/>
        </w:rPr>
      </w:pPr>
      <w:r w:rsidRPr="00D33C8E">
        <w:rPr>
          <w:rFonts w:cstheme="minorHAnsi"/>
        </w:rPr>
        <w:t xml:space="preserve">Dzimumu līdztiesības statistikas </w:t>
      </w:r>
      <w:r w:rsidR="007821EA" w:rsidRPr="00D33C8E">
        <w:rPr>
          <w:rFonts w:cstheme="minorHAnsi"/>
        </w:rPr>
        <w:t>publicitāte un t</w:t>
      </w:r>
      <w:r w:rsidR="00062D1E">
        <w:rPr>
          <w:rFonts w:cstheme="minorHAnsi"/>
        </w:rPr>
        <w:t>ās</w:t>
      </w:r>
      <w:r w:rsidR="007821EA" w:rsidRPr="00D33C8E">
        <w:rPr>
          <w:rFonts w:cstheme="minorHAnsi"/>
        </w:rPr>
        <w:t xml:space="preserve"> aktualizēšana dažādu jomu politiku veidošanā un novērtēšanā</w:t>
      </w:r>
      <w:r w:rsidRPr="00D33C8E">
        <w:rPr>
          <w:rFonts w:cstheme="minorHAnsi"/>
        </w:rPr>
        <w:t xml:space="preserve">, iekļaujot </w:t>
      </w:r>
      <w:r w:rsidR="007821EA" w:rsidRPr="00D33C8E">
        <w:rPr>
          <w:rFonts w:cstheme="minorHAnsi"/>
        </w:rPr>
        <w:t xml:space="preserve">savstarpēji </w:t>
      </w:r>
      <w:r w:rsidR="009E0D81" w:rsidRPr="00D33C8E">
        <w:rPr>
          <w:rFonts w:cstheme="minorHAnsi"/>
        </w:rPr>
        <w:t>ietekmējošos faktorus (</w:t>
      </w:r>
      <w:r w:rsidR="00D55624" w:rsidRPr="00D33C8E">
        <w:rPr>
          <w:rFonts w:cstheme="minorHAnsi"/>
        </w:rPr>
        <w:t>vecums, invaliditāte, etniskā piederība</w:t>
      </w:r>
      <w:r w:rsidR="00957C57" w:rsidRPr="00D33C8E">
        <w:rPr>
          <w:rFonts w:cstheme="minorHAnsi"/>
        </w:rPr>
        <w:t>, izglītība u.c.)</w:t>
      </w:r>
      <w:r w:rsidRPr="00D33C8E">
        <w:rPr>
          <w:rFonts w:cstheme="minorHAnsi"/>
        </w:rPr>
        <w:t>.</w:t>
      </w:r>
    </w:p>
    <w:p w14:paraId="55174538" w14:textId="40D88554" w:rsidR="00E77F34" w:rsidRPr="00D33C8E" w:rsidRDefault="00722ED8" w:rsidP="00753A30">
      <w:pPr>
        <w:spacing w:before="120" w:after="120" w:line="264" w:lineRule="auto"/>
        <w:jc w:val="both"/>
        <w:rPr>
          <w:rFonts w:cstheme="minorHAnsi"/>
        </w:rPr>
      </w:pPr>
      <w:r w:rsidRPr="00D33C8E">
        <w:rPr>
          <w:rFonts w:cstheme="minorHAnsi"/>
        </w:rPr>
        <w:t xml:space="preserve">Sieviešu un vīriešu vienlīdzīgu iespēju un tiesību politikas izstrāde un koordinēšana ir LM atbildība. LM koordinējošā lomā ietilpst šādi pienākumi: 1) dzimumu līdztiesības principa skaidrošana citām valsts pārvaldes iestādēm; 2) iesaistīšanās citu valsts pārvaldes institūciju politikas plānošanas dokumentu izstrādē; 3) jomu, kurās ir vērojama atšķirīga attieksme dzimuma dēļ, identificēšana; 4) visaptveroša redzējuma par sieviešu un vīriešu </w:t>
      </w:r>
      <w:r w:rsidRPr="00D33C8E">
        <w:rPr>
          <w:rFonts w:cstheme="minorHAnsi"/>
        </w:rPr>
        <w:lastRenderedPageBreak/>
        <w:t>līdztiesīgu iespēju un tiesību īstenošanu izstrādi; 5) Latvijas pārstāvniecības starptautiskajās organizācijās, sadarbības tīklos un forumos nodrošināšana. Līdztekus tam LM ir atbildīgā institūcija par horizontālā principa “Vienlīdzība, iekļaušana, nediskriminācija un pamattiesību ievērošana” koordināciju ES fondos, kur dzimumu līdztiesības integrēšana ir noteikta kā viens no pamatprincipiem diskriminācijas mazināšanai un vienlīdzīgu iespēju veicināšanai.</w:t>
      </w:r>
    </w:p>
    <w:p w14:paraId="4D7FC0C1" w14:textId="1EAD4A81" w:rsidR="0087308E" w:rsidRPr="00D33C8E" w:rsidRDefault="0087308E" w:rsidP="00753A30">
      <w:pPr>
        <w:spacing w:before="120" w:after="120" w:line="264" w:lineRule="auto"/>
        <w:jc w:val="both"/>
        <w:rPr>
          <w:rFonts w:cstheme="minorHAnsi"/>
        </w:rPr>
      </w:pPr>
      <w:r w:rsidRPr="00D33C8E">
        <w:rPr>
          <w:rFonts w:cstheme="minorHAnsi"/>
        </w:rPr>
        <w:t>Lai veicinātu ministriju, NVO, sociālo partneru, pašvaldību un citu iesaistīto pārstāvju sadarbību un līdzdalību, kā arī, lai sekmētu dzimumu līdztiesības politikas īstenošanu, pārraudzību un pilnveidošanu, ir izveidota</w:t>
      </w:r>
      <w:r w:rsidR="00EF6672">
        <w:rPr>
          <w:rFonts w:cstheme="minorHAnsi"/>
        </w:rPr>
        <w:t xml:space="preserve"> Komiteja. </w:t>
      </w:r>
      <w:r w:rsidRPr="00D33C8E">
        <w:rPr>
          <w:rFonts w:cstheme="minorHAnsi"/>
        </w:rPr>
        <w:t>Komiteja ir būtiska platforma, kuras ietvaros dažādas iesaistītās puses var iesaistīties dzimumu līdztiesības politikas prioritāšu un rīcības virzienu noteikšanā, kā arī dzimumu līdztiesības principu īstenošanas uzraudzībā. Vienlaikus jānorāda, ka Komiteja ir konsultatīva platforma ar mainīgu sastāvu un Komitejas locekļu dalību, kas ir viens no aspektiem, kas ietekmē Komitejas kapacitāti veikt visaptverošu dažādu jomu izvērtējumu, kā arī sniegt priekšlikumus nepieciešamajiem pasākumiem, ņemot vērā dzimumu līdztiesības perspektīvu.</w:t>
      </w:r>
    </w:p>
    <w:p w14:paraId="30A47F6D" w14:textId="6513D738" w:rsidR="0087308E" w:rsidRPr="00D33C8E" w:rsidRDefault="0087308E" w:rsidP="00753A30">
      <w:pPr>
        <w:spacing w:before="120" w:after="120" w:line="264" w:lineRule="auto"/>
        <w:jc w:val="both"/>
        <w:rPr>
          <w:rFonts w:cstheme="minorHAnsi"/>
        </w:rPr>
      </w:pPr>
      <w:r w:rsidRPr="00D33C8E">
        <w:rPr>
          <w:rFonts w:cstheme="minorHAnsi"/>
        </w:rPr>
        <w:t>Papildus tam pēdējo gadu laikā nav notikušas sistemātiskas, regulāras apmācības valsts pārvaldes darbiniekiem par dzimumu līdztiesību un dzimumu līdztiesības perspektīvas integrēšanu politikas un budžeta procesos</w:t>
      </w:r>
      <w:r w:rsidR="00B22A57" w:rsidRPr="00D33C8E">
        <w:rPr>
          <w:rFonts w:cstheme="minorHAnsi"/>
        </w:rPr>
        <w:t>.</w:t>
      </w:r>
      <w:r w:rsidR="00FF012D">
        <w:rPr>
          <w:rFonts w:cstheme="minorHAnsi"/>
        </w:rPr>
        <w:t xml:space="preserve"> </w:t>
      </w:r>
      <w:r w:rsidRPr="00D33C8E">
        <w:rPr>
          <w:rFonts w:cstheme="minorHAnsi"/>
        </w:rPr>
        <w:t xml:space="preserve">Zināms konsultatīvs un metodisks atbalsts saistībā ar dzimumu līdztiesības jautājumiem ir sniegts ES fondu plānošanā, administrēšanā un ieviešanā iesaistītajām </w:t>
      </w:r>
      <w:r w:rsidR="00AA38F2" w:rsidRPr="00D33C8E">
        <w:rPr>
          <w:rFonts w:cstheme="minorHAnsi"/>
        </w:rPr>
        <w:t>institūcijām un projektu īste</w:t>
      </w:r>
      <w:r w:rsidR="00664616" w:rsidRPr="00D33C8E">
        <w:rPr>
          <w:rFonts w:cstheme="minorHAnsi"/>
        </w:rPr>
        <w:t>n</w:t>
      </w:r>
      <w:r w:rsidR="00AA38F2" w:rsidRPr="00D33C8E">
        <w:rPr>
          <w:rFonts w:cstheme="minorHAnsi"/>
        </w:rPr>
        <w:t>otājiem</w:t>
      </w:r>
      <w:r w:rsidRPr="00D33C8E">
        <w:rPr>
          <w:rFonts w:cstheme="minorHAnsi"/>
        </w:rPr>
        <w:t xml:space="preserve">, skaidrojot horizontālā principa piemērošanu, taču šāds atbalsts aptver </w:t>
      </w:r>
      <w:r w:rsidR="00AA38F2" w:rsidRPr="00D33C8E">
        <w:rPr>
          <w:rFonts w:cstheme="minorHAnsi"/>
        </w:rPr>
        <w:t xml:space="preserve">salīdzinoši </w:t>
      </w:r>
      <w:r w:rsidRPr="00D33C8E">
        <w:rPr>
          <w:rFonts w:cstheme="minorHAnsi"/>
        </w:rPr>
        <w:t>ierobežotu personu loku. Lai gan 2021. gada 7. septembrī pieņemto Ministru kabineta noteikumu Nr. 617 “Tiesību akta projekta sākotnējās ietekmes izvērtēšanas kārtība” 9.9. punkts</w:t>
      </w:r>
      <w:r w:rsidR="00CD485B" w:rsidRPr="00D33C8E">
        <w:rPr>
          <w:rStyle w:val="FootnoteReference"/>
          <w:rFonts w:cstheme="minorHAnsi"/>
        </w:rPr>
        <w:footnoteReference w:id="40"/>
      </w:r>
      <w:r w:rsidRPr="00D33C8E">
        <w:rPr>
          <w:rFonts w:cstheme="minorHAnsi"/>
        </w:rPr>
        <w:t xml:space="preserve">  nosaka, ka tiesību akta projektu sākotnējās ietekmes izvērtēšanā ir jāvērtē arī šī projekta ietekme uz dzimumu līdztiesību, jāatzīmē, ka daudzos gadījumos tas tiek veikts</w:t>
      </w:r>
      <w:r w:rsidR="00AA38F2" w:rsidRPr="00D33C8E">
        <w:rPr>
          <w:rFonts w:cstheme="minorHAnsi"/>
        </w:rPr>
        <w:t xml:space="preserve"> formāli</w:t>
      </w:r>
      <w:r w:rsidR="0032092E" w:rsidRPr="00D33C8E">
        <w:rPr>
          <w:rFonts w:cstheme="minorHAnsi"/>
        </w:rPr>
        <w:t xml:space="preserve"> un</w:t>
      </w:r>
      <w:r w:rsidRPr="00D33C8E">
        <w:rPr>
          <w:rFonts w:cstheme="minorHAnsi"/>
        </w:rPr>
        <w:t xml:space="preserve"> nepilnīgi</w:t>
      </w:r>
      <w:r w:rsidR="0032092E" w:rsidRPr="00D33C8E">
        <w:rPr>
          <w:rFonts w:cstheme="minorHAnsi"/>
        </w:rPr>
        <w:t>, kam par iemeslu ir zem</w:t>
      </w:r>
      <w:r w:rsidR="000A0502" w:rsidRPr="00D33C8E">
        <w:rPr>
          <w:rFonts w:cstheme="minorHAnsi"/>
        </w:rPr>
        <w:t>ā</w:t>
      </w:r>
      <w:r w:rsidR="0032092E" w:rsidRPr="00D33C8E">
        <w:rPr>
          <w:rFonts w:cstheme="minorHAnsi"/>
        </w:rPr>
        <w:t xml:space="preserve"> </w:t>
      </w:r>
      <w:r w:rsidRPr="00D33C8E">
        <w:rPr>
          <w:rFonts w:cstheme="minorHAnsi"/>
        </w:rPr>
        <w:t>izpratne</w:t>
      </w:r>
      <w:r w:rsidR="000A0502" w:rsidRPr="00D33C8E">
        <w:rPr>
          <w:rFonts w:cstheme="minorHAnsi"/>
        </w:rPr>
        <w:t xml:space="preserve"> </w:t>
      </w:r>
      <w:r w:rsidRPr="00D33C8E">
        <w:rPr>
          <w:rFonts w:cstheme="minorHAnsi"/>
        </w:rPr>
        <w:t>par dzimumu līdztiesīb</w:t>
      </w:r>
      <w:r w:rsidR="000A0502" w:rsidRPr="00D33C8E">
        <w:rPr>
          <w:rFonts w:cstheme="minorHAnsi"/>
        </w:rPr>
        <w:t xml:space="preserve">as  aspektiem un nozīmi dažādās sabiedrības </w:t>
      </w:r>
      <w:r w:rsidR="0002041E" w:rsidRPr="00D33C8E">
        <w:rPr>
          <w:rFonts w:cstheme="minorHAnsi"/>
        </w:rPr>
        <w:t>labklājību ietekmējošās jomās</w:t>
      </w:r>
      <w:r w:rsidRPr="00D33C8E">
        <w:rPr>
          <w:rFonts w:cstheme="minorHAnsi"/>
        </w:rPr>
        <w:t>.</w:t>
      </w:r>
    </w:p>
    <w:p w14:paraId="0329A4B1" w14:textId="098C955B" w:rsidR="002137BC" w:rsidRPr="00D33C8E" w:rsidRDefault="002137BC" w:rsidP="00753A30">
      <w:pPr>
        <w:spacing w:before="120" w:after="120" w:line="264" w:lineRule="auto"/>
        <w:jc w:val="both"/>
        <w:rPr>
          <w:rFonts w:cstheme="minorHAnsi"/>
        </w:rPr>
      </w:pPr>
      <w:r w:rsidRPr="00D33C8E">
        <w:rPr>
          <w:rFonts w:cstheme="minorHAnsi"/>
        </w:rPr>
        <w:t>Līdz šim Latvijā dzimuma aspekta integrēšana budžeta procesos nav praktizēta un ieviesta sistemātiski. Arvien vairāk valstis izvēl</w:t>
      </w:r>
      <w:r w:rsidR="00A25D7C">
        <w:rPr>
          <w:rFonts w:cstheme="minorHAnsi"/>
        </w:rPr>
        <w:t>a</w:t>
      </w:r>
      <w:r w:rsidRPr="00D33C8E">
        <w:rPr>
          <w:rFonts w:cstheme="minorHAnsi"/>
        </w:rPr>
        <w:t>s praksē ieviest dzimumu līdztiesības integrēšanas metodi savu valstu budžeta plānošanas procesos – tā, piemēram, 60% OECD dalībvalstu šobrīd praktizē šo metodi</w:t>
      </w:r>
      <w:r w:rsidR="002868D3" w:rsidRPr="00D33C8E">
        <w:rPr>
          <w:rStyle w:val="FootnoteReference"/>
          <w:rFonts w:cstheme="minorHAnsi"/>
        </w:rPr>
        <w:footnoteReference w:id="41"/>
      </w:r>
      <w:r w:rsidRPr="00D33C8E">
        <w:rPr>
          <w:rFonts w:cstheme="minorHAnsi"/>
        </w:rPr>
        <w:t>, kā galvenos ieguvumus norādot labāku pierādījumu bāzi, uz kuras pamata var pieņemt datos balstītus lēmumus par lietderīgu resursu izmantošanu, efektīvāku nevienlīdzības novēršanu, kā arī labāku izpratni par budžeta ietekmi uz dažādām sabiedrības grupām un to vajadzībām.</w:t>
      </w:r>
    </w:p>
    <w:p w14:paraId="3434BD74" w14:textId="271886D6" w:rsidR="004C5E93" w:rsidRPr="00D33C8E" w:rsidRDefault="004C5E93" w:rsidP="00753A30">
      <w:pPr>
        <w:spacing w:before="120" w:after="120" w:line="264" w:lineRule="auto"/>
        <w:jc w:val="both"/>
        <w:rPr>
          <w:rFonts w:cstheme="minorHAnsi"/>
        </w:rPr>
      </w:pPr>
      <w:r w:rsidRPr="00D33C8E">
        <w:rPr>
          <w:rFonts w:cstheme="minorHAnsi"/>
        </w:rPr>
        <w:t xml:space="preserve">Latvijā pēdējo desmit gadu laikā saistībā ar dzimumu līdztiesības aspekta integrēšanu budžeta procesos ir īstenotas tikai dažas </w:t>
      </w:r>
      <w:r w:rsidRPr="00BB7FD0">
        <w:rPr>
          <w:rFonts w:cstheme="minorHAnsi"/>
          <w:i/>
          <w:iCs/>
        </w:rPr>
        <w:t>ad-hoc</w:t>
      </w:r>
      <w:r w:rsidRPr="00D33C8E">
        <w:rPr>
          <w:rFonts w:cstheme="minorHAnsi"/>
        </w:rPr>
        <w:t xml:space="preserve"> aktivitātes</w:t>
      </w:r>
      <w:r w:rsidR="00E16FF9" w:rsidRPr="00D33C8E">
        <w:rPr>
          <w:rFonts w:cstheme="minorHAnsi"/>
        </w:rPr>
        <w:t xml:space="preserve">. </w:t>
      </w:r>
      <w:r w:rsidRPr="00D33C8E">
        <w:rPr>
          <w:rFonts w:cstheme="minorHAnsi"/>
        </w:rPr>
        <w:t>Viena no visaptverošākajām aktivitātēm tika īstenota 2017. gadā darbības programmas “Izaugsme un nodarbinātība” 9.1.4. SAM “Palielināt diskriminācijas riskiem pakļauto personu integrāciju sabiedrībā un darba tirgū “ 9.1.4.4. pasākuma “Dažādību veicināšana (diskriminācijas novēršana)” ietvaros</w:t>
      </w:r>
      <w:r w:rsidR="005B7292" w:rsidRPr="00D33C8E">
        <w:rPr>
          <w:rFonts w:cstheme="minorHAnsi"/>
        </w:rPr>
        <w:t xml:space="preserve"> tika </w:t>
      </w:r>
      <w:r w:rsidR="005B7292" w:rsidRPr="00D33C8E">
        <w:rPr>
          <w:rFonts w:cstheme="minorHAnsi"/>
        </w:rPr>
        <w:lastRenderedPageBreak/>
        <w:t>veikt</w:t>
      </w:r>
      <w:r w:rsidR="00566EAC" w:rsidRPr="00D33C8E">
        <w:rPr>
          <w:rFonts w:cstheme="minorHAnsi"/>
        </w:rPr>
        <w:t>a</w:t>
      </w:r>
      <w:r w:rsidR="00BB7FD0">
        <w:rPr>
          <w:rFonts w:cstheme="minorHAnsi"/>
        </w:rPr>
        <w:t xml:space="preserve"> </w:t>
      </w:r>
      <w:r w:rsidRPr="00D33C8E">
        <w:rPr>
          <w:rFonts w:cstheme="minorHAnsi"/>
        </w:rPr>
        <w:t>atsevišķu valsts</w:t>
      </w:r>
      <w:r w:rsidR="003C5A25" w:rsidRPr="00D33C8E">
        <w:rPr>
          <w:rFonts w:cstheme="minorHAnsi"/>
        </w:rPr>
        <w:t xml:space="preserve"> (Nodarbinātības valsts aģentūras)</w:t>
      </w:r>
      <w:r w:rsidRPr="00D33C8E">
        <w:rPr>
          <w:rFonts w:cstheme="minorHAnsi"/>
        </w:rPr>
        <w:t xml:space="preserve"> un pašvaldību </w:t>
      </w:r>
      <w:r w:rsidR="00BB7FD0">
        <w:rPr>
          <w:rFonts w:cstheme="minorHAnsi"/>
        </w:rPr>
        <w:t>(</w:t>
      </w:r>
      <w:r w:rsidR="003C5A25" w:rsidRPr="00D33C8E">
        <w:rPr>
          <w:rFonts w:cstheme="minorHAnsi"/>
        </w:rPr>
        <w:t xml:space="preserve">Aizkraukles novada pašvaldības) </w:t>
      </w:r>
      <w:r w:rsidRPr="00D33C8E">
        <w:rPr>
          <w:rFonts w:cstheme="minorHAnsi"/>
        </w:rPr>
        <w:t xml:space="preserve">budžeta programmu izvērtēšana, uz kā pamata tika izstrādātas rekomendācijas un metodoloģijas priekšlikumi. </w:t>
      </w:r>
      <w:r w:rsidR="00566EAC" w:rsidRPr="00D33C8E">
        <w:rPr>
          <w:rFonts w:cstheme="minorHAnsi"/>
        </w:rPr>
        <w:t xml:space="preserve"> </w:t>
      </w:r>
      <w:r w:rsidRPr="00D33C8E">
        <w:rPr>
          <w:rFonts w:cstheme="minorHAnsi"/>
        </w:rPr>
        <w:t xml:space="preserve">Pētījuma noslēgumā, 2017. gada decembrī, tika organizēts arī atvērtais seminārs, kur dažādu valsts un pašvaldības iestāžu darba devēji un darbinieki, kuru ikdienas darba pienākumi ir saistīti ar budžeta plānošanu, kā arī citi interesenti, varēja uzzināt par dzimumu aspekta integrēšanu budžeta veidošanas procesos. </w:t>
      </w:r>
      <w:r w:rsidR="00D55D16" w:rsidRPr="00D33C8E">
        <w:rPr>
          <w:rFonts w:cstheme="minorHAnsi"/>
        </w:rPr>
        <w:t>Būtiskākie secinājumi par īstenoto bija</w:t>
      </w:r>
      <w:r w:rsidR="00AE0B96" w:rsidRPr="00D33C8E">
        <w:rPr>
          <w:rFonts w:cstheme="minorHAnsi"/>
        </w:rPr>
        <w:t xml:space="preserve">, ka  - </w:t>
      </w:r>
      <w:r w:rsidRPr="00D33C8E">
        <w:rPr>
          <w:rFonts w:cstheme="minorHAnsi"/>
        </w:rPr>
        <w:t xml:space="preserve">budžeta ietekmes analīzei bieži vien trūkst kvalitatīvu datu dzimumu griezumā, kā arī, ka zināšanas un interese par dzimumu līdztiesības aspekta iekļaušanu plānošanas dokumentos, stratēģijās un budžetos ir salīdzinoši ierobežota. </w:t>
      </w:r>
      <w:r w:rsidR="00AE0B96" w:rsidRPr="00D33C8E">
        <w:rPr>
          <w:rFonts w:cstheme="minorHAnsi"/>
        </w:rPr>
        <w:t xml:space="preserve">Balstoties uz  </w:t>
      </w:r>
      <w:r w:rsidRPr="00D33C8E">
        <w:rPr>
          <w:rFonts w:cstheme="minorHAnsi"/>
        </w:rPr>
        <w:t>projekta rezultāt</w:t>
      </w:r>
      <w:r w:rsidR="00AE0B96" w:rsidRPr="00D33C8E">
        <w:rPr>
          <w:rFonts w:cstheme="minorHAnsi"/>
        </w:rPr>
        <w:t xml:space="preserve">iem </w:t>
      </w:r>
      <w:r w:rsidRPr="00D33C8E">
        <w:rPr>
          <w:rFonts w:cstheme="minorHAnsi"/>
        </w:rPr>
        <w:t>un rekomendācij</w:t>
      </w:r>
      <w:r w:rsidR="00AE0B96" w:rsidRPr="00D33C8E">
        <w:rPr>
          <w:rFonts w:cstheme="minorHAnsi"/>
        </w:rPr>
        <w:t>ām</w:t>
      </w:r>
      <w:r w:rsidRPr="00D33C8E">
        <w:rPr>
          <w:rFonts w:cstheme="minorHAnsi"/>
        </w:rPr>
        <w:t>, tika veiktas izmaiņas Ministru kabineta instrukcijā Nr. 2 “Instrukcija par valsts budžeta izpildes analīzi”</w:t>
      </w:r>
      <w:r w:rsidR="009C7ED3" w:rsidRPr="00D33C8E">
        <w:rPr>
          <w:rStyle w:val="FootnoteReference"/>
          <w:rFonts w:cstheme="minorHAnsi"/>
        </w:rPr>
        <w:footnoteReference w:id="42"/>
      </w:r>
      <w:r w:rsidRPr="00D33C8E">
        <w:rPr>
          <w:rFonts w:cstheme="minorHAnsi"/>
        </w:rPr>
        <w:t>, kur tika noteikts, ka budžeta analīzē ir nepieciešams norādīt rezultatīvo rādītāju izpildi dalījumā pēc dzimuma, ja rezultatīvā rādītāja mērvienība ir personu skaits un ja ministriju iekšējā uzskaitē ir pieejama šāda informācija. Vienlaikus jānorāda, ka šāda dzimumu līdztiesības aspekta integrētās pieejas reducēšana tikai uz rezultatīvo rādītāju atspoguļošanu, pēc būtības ir ļoti formāla pieeja, kas neveicina dzimumu līdztiesības izpratnes attīstību un šī principa praktisku iedzīvināšanu politikas un budžeta plānošanā.</w:t>
      </w:r>
    </w:p>
    <w:p w14:paraId="6AEEE537" w14:textId="52C6D579" w:rsidR="004C5E93" w:rsidRPr="00D33C8E" w:rsidRDefault="005E0C32" w:rsidP="00753A30">
      <w:pPr>
        <w:spacing w:before="120" w:after="120" w:line="264" w:lineRule="auto"/>
        <w:jc w:val="both"/>
        <w:rPr>
          <w:rFonts w:cstheme="minorHAnsi"/>
        </w:rPr>
      </w:pPr>
      <w:r w:rsidRPr="00D33C8E">
        <w:rPr>
          <w:rFonts w:cstheme="minorHAnsi"/>
        </w:rPr>
        <w:t>Datiem un statistikai dalījumā pēc dzimuma ir b</w:t>
      </w:r>
      <w:r w:rsidR="004C5E93" w:rsidRPr="00D33C8E">
        <w:rPr>
          <w:rFonts w:cstheme="minorHAnsi"/>
        </w:rPr>
        <w:t xml:space="preserve">ūtiska nozīme dzimumu līdztiesības principa integrācijai </w:t>
      </w:r>
      <w:r w:rsidR="00BB31E3" w:rsidRPr="00D33C8E">
        <w:rPr>
          <w:rFonts w:cstheme="minorHAnsi"/>
        </w:rPr>
        <w:t xml:space="preserve">visā politikas ciklā. Dati nodrošina, ka politikas pasākumi </w:t>
      </w:r>
      <w:r w:rsidR="00332957" w:rsidRPr="00D33C8E">
        <w:rPr>
          <w:rFonts w:cstheme="minorHAnsi"/>
        </w:rPr>
        <w:t>atbilst sieviešu un vīriešu dažādajām vajadzībām un prioritātēm, tie sniedz informāciju</w:t>
      </w:r>
      <w:r w:rsidR="004C5E93" w:rsidRPr="00D33C8E">
        <w:rPr>
          <w:rFonts w:cstheme="minorHAnsi"/>
        </w:rPr>
        <w:t xml:space="preserve"> </w:t>
      </w:r>
      <w:r w:rsidR="00332957" w:rsidRPr="00D33C8E">
        <w:rPr>
          <w:rFonts w:cstheme="minorHAnsi"/>
        </w:rPr>
        <w:t>par sieviešu un vīriešu situācijas izmaiņām</w:t>
      </w:r>
      <w:r w:rsidR="00F61D82" w:rsidRPr="00D33C8E">
        <w:rPr>
          <w:rFonts w:cstheme="minorHAnsi"/>
        </w:rPr>
        <w:t>, kā arī datiem ir būtiska loma politikas, programmu un projektu īsteno</w:t>
      </w:r>
      <w:r w:rsidR="000F294A" w:rsidRPr="00D33C8E">
        <w:rPr>
          <w:rFonts w:cstheme="minorHAnsi"/>
        </w:rPr>
        <w:t xml:space="preserve">šanā, uzraudzībā un novērtēšanā. </w:t>
      </w:r>
      <w:r w:rsidR="004C5E93" w:rsidRPr="00D33C8E">
        <w:rPr>
          <w:rFonts w:cstheme="minorHAnsi"/>
        </w:rPr>
        <w:t xml:space="preserve">Latvijā ļoti plašs rādītāju un statistiskās informācijas apjoms tiek vākts un apkopots dzimumu griezumā, tai skaitā, gan valsts un pašvaldību iestāžu informācijas sistēmās un datu bāzēs apkopotajos datos, gan CSP īstenoto apsekojumu </w:t>
      </w:r>
      <w:r w:rsidR="00866DC5" w:rsidRPr="00D33C8E">
        <w:rPr>
          <w:rFonts w:cstheme="minorHAnsi"/>
        </w:rPr>
        <w:t>ietvaros</w:t>
      </w:r>
      <w:r w:rsidR="004C5E93" w:rsidRPr="00D33C8E">
        <w:rPr>
          <w:rFonts w:cstheme="minorHAnsi"/>
        </w:rPr>
        <w:t>. Tāpat CSP ir izveidojusi dzimumu līdztiesības rādītāju sadaļu</w:t>
      </w:r>
      <w:r w:rsidR="00CF0640" w:rsidRPr="00D33C8E">
        <w:rPr>
          <w:rStyle w:val="FootnoteReference"/>
          <w:rFonts w:cstheme="minorHAnsi"/>
        </w:rPr>
        <w:footnoteReference w:id="43"/>
      </w:r>
      <w:r w:rsidR="004C5E93" w:rsidRPr="00D33C8E">
        <w:rPr>
          <w:rFonts w:cstheme="minorHAnsi"/>
        </w:rPr>
        <w:t xml:space="preserve"> . Lai gan dažādās nozarēs tiek apkopota statistika dalījumā pēc dzimuma, statistikas datos uzrādītās atšķirības starp dzimumiem bieži vien netiek ņemtas vērā, lai veicinātu mērķētus atbalsta pasākumus vai esošo pasākumu pārskatīšanu. Tas skaidrojams ar iepriekš minēto apmācību un izpratnes trūkumu par dzimumu līdztiesības aspekta integrāciju politikas plānošanas procesā. Tāpat jānorāda, ka, lai gan kopumā Latvijā ir nodrošināts samērā plašs pēc dzimuma dalītu statistikas datu un rādītāju klāsts, īpaši tajās jomās, kur tiek veikta datu starptautiskā salīdzināšana vai dati tiek vākti un apkopoti atbilstoši starptautiski harmonizētām metodoloģijām, ir virkne jomu, kurās statistikas dati vai pētījumi ir nepietiekami, it īpaši, ja runa ir par salīdzinoši jaunām statistikas un sociālās politikas jomām – kibervardarbība, iesaiste jaunāko tehnoloģiju jomā, multiplās diskriminācijas formas.</w:t>
      </w:r>
    </w:p>
    <w:p w14:paraId="195FEB92" w14:textId="3171E0CE" w:rsidR="00BC4004" w:rsidRPr="00D33C8E" w:rsidRDefault="00193ABA" w:rsidP="00753A30">
      <w:pPr>
        <w:spacing w:before="120" w:after="120" w:line="264" w:lineRule="auto"/>
        <w:jc w:val="both"/>
        <w:rPr>
          <w:rFonts w:cstheme="minorHAnsi"/>
          <w:sz w:val="20"/>
          <w:szCs w:val="20"/>
        </w:rPr>
      </w:pPr>
      <w:r w:rsidRPr="00D33C8E">
        <w:rPr>
          <w:rFonts w:cstheme="minorHAnsi"/>
          <w:bCs/>
        </w:rPr>
        <w:t>Dzimumu līdztiesība, jo īpaši sieviešu tiesību un iespēju veicināšana ir arī viens no ANO Ilgstpējīgas attīstības mērķiem. Dzimumu līdztiesība un sieviešu tiesību un iespēju veicināšana ir Latvijas prioritāte cilvēktiesību jomā  starptautiskajās organizācijās un īstenojot attīstības sadarbības politiku. Š</w:t>
      </w:r>
      <w:r w:rsidRPr="00D33C8E">
        <w:rPr>
          <w:rFonts w:eastAsia="Calibri" w:cstheme="minorHAnsi"/>
          <w:bCs/>
        </w:rPr>
        <w:t xml:space="preserve">īs tēmas var apliecināt Latvijas </w:t>
      </w:r>
      <w:r w:rsidR="00CD1FB5" w:rsidRPr="00D33C8E">
        <w:rPr>
          <w:rFonts w:eastAsia="Calibri" w:cstheme="minorHAnsi"/>
          <w:bCs/>
        </w:rPr>
        <w:t xml:space="preserve">centienus, </w:t>
      </w:r>
      <w:r w:rsidRPr="00D33C8E">
        <w:rPr>
          <w:rFonts w:eastAsia="Calibri" w:cstheme="minorHAnsi"/>
          <w:bCs/>
        </w:rPr>
        <w:t>ieguldījumu</w:t>
      </w:r>
      <w:r w:rsidR="00CD1FB5" w:rsidRPr="00D33C8E">
        <w:rPr>
          <w:rFonts w:eastAsia="Calibri" w:cstheme="minorHAnsi"/>
          <w:bCs/>
        </w:rPr>
        <w:t xml:space="preserve"> </w:t>
      </w:r>
      <w:r w:rsidRPr="00D33C8E">
        <w:rPr>
          <w:rFonts w:eastAsia="Calibri" w:cstheme="minorHAnsi"/>
          <w:bCs/>
        </w:rPr>
        <w:t xml:space="preserve">un </w:t>
      </w:r>
      <w:r w:rsidR="00CD1FB5" w:rsidRPr="00D33C8E">
        <w:rPr>
          <w:rFonts w:eastAsia="Calibri" w:cstheme="minorHAnsi"/>
          <w:bCs/>
        </w:rPr>
        <w:t xml:space="preserve">arī </w:t>
      </w:r>
      <w:r w:rsidRPr="00D33C8E">
        <w:rPr>
          <w:rFonts w:eastAsia="Calibri" w:cstheme="minorHAnsi"/>
          <w:bCs/>
        </w:rPr>
        <w:t>pieredzi sieviešu tiesību un iespēju veicināšanā.</w:t>
      </w:r>
      <w:r w:rsidR="00810295" w:rsidRPr="00D33C8E">
        <w:rPr>
          <w:rFonts w:eastAsia="Calibri" w:cstheme="minorHAnsi"/>
          <w:bCs/>
        </w:rPr>
        <w:t xml:space="preserve"> </w:t>
      </w:r>
      <w:r w:rsidR="00BC4004" w:rsidRPr="00D33C8E">
        <w:rPr>
          <w:rFonts w:cstheme="minorHAnsi"/>
          <w:bCs/>
        </w:rPr>
        <w:t xml:space="preserve">2020. gadā Latvija pirmo reizi tika ievēlēta ANO </w:t>
      </w:r>
      <w:r w:rsidR="00BC4004" w:rsidRPr="00D33C8E">
        <w:rPr>
          <w:rFonts w:cstheme="minorHAnsi"/>
          <w:bCs/>
        </w:rPr>
        <w:lastRenderedPageBreak/>
        <w:t>Sieviešu statusa komisijā, kurā darbosies no 2021. līdz 2025. gadam.</w:t>
      </w:r>
      <w:r w:rsidR="00BC4004" w:rsidRPr="00D33C8E">
        <w:rPr>
          <w:rStyle w:val="FootnoteReference"/>
          <w:rFonts w:cstheme="minorHAnsi"/>
          <w:bCs/>
        </w:rPr>
        <w:footnoteReference w:id="44"/>
      </w:r>
      <w:r w:rsidR="004A1D6C" w:rsidRPr="00D33C8E">
        <w:rPr>
          <w:rFonts w:cstheme="minorHAnsi"/>
          <w:bCs/>
        </w:rPr>
        <w:t xml:space="preserve"> </w:t>
      </w:r>
      <w:r w:rsidR="00094E32" w:rsidRPr="00D33C8E">
        <w:rPr>
          <w:rFonts w:cstheme="minorHAnsi"/>
          <w:bCs/>
        </w:rPr>
        <w:t xml:space="preserve">Dalība ANO Sieviešu statusa komisijā </w:t>
      </w:r>
      <w:r w:rsidR="00094E32" w:rsidRPr="00D33C8E">
        <w:rPr>
          <w:rFonts w:eastAsia="Calibri" w:cstheme="minorHAnsi"/>
          <w:bCs/>
        </w:rPr>
        <w:t>dod iespēju gan valdībai, gan nevalstiskajam sektoram apliecināt atbalstu ANO starptautiskajai dienaskārtībai un stiprināt sieviešu līdzdalības procesus mūsu partnervalstīs</w:t>
      </w:r>
      <w:r w:rsidR="00D678C7" w:rsidRPr="00D33C8E">
        <w:rPr>
          <w:rFonts w:eastAsia="Calibri" w:cstheme="minorHAnsi"/>
          <w:bCs/>
        </w:rPr>
        <w:t xml:space="preserve">. </w:t>
      </w:r>
      <w:r w:rsidR="004A1D6C" w:rsidRPr="00D33C8E">
        <w:rPr>
          <w:rFonts w:cstheme="minorHAnsi"/>
          <w:bCs/>
        </w:rPr>
        <w:t>Latvija</w:t>
      </w:r>
      <w:r w:rsidR="00EF7C4D" w:rsidRPr="00D33C8E">
        <w:rPr>
          <w:rFonts w:cstheme="minorHAnsi"/>
          <w:bCs/>
        </w:rPr>
        <w:t xml:space="preserve">i ir būtiski turpināt un arī pastiprināt centienus, lai veicinātu dzimumu līdztiesību </w:t>
      </w:r>
      <w:r w:rsidR="00A752C5" w:rsidRPr="00D33C8E">
        <w:rPr>
          <w:rFonts w:cstheme="minorHAnsi"/>
          <w:bCs/>
        </w:rPr>
        <w:t>dažādos starptautiskajos formātos (ANO, Eiropas Padome, Ziemeļu un Baltijas valstu sadarbība</w:t>
      </w:r>
      <w:r w:rsidR="00C126D7" w:rsidRPr="00D33C8E">
        <w:rPr>
          <w:rFonts w:cstheme="minorHAnsi"/>
          <w:bCs/>
        </w:rPr>
        <w:t>s ietvaros, ES)</w:t>
      </w:r>
      <w:r w:rsidR="00A752C5" w:rsidRPr="00D33C8E">
        <w:rPr>
          <w:rFonts w:cstheme="minorHAnsi"/>
          <w:bCs/>
        </w:rPr>
        <w:t>,</w:t>
      </w:r>
      <w:r w:rsidR="00C126D7" w:rsidRPr="00D33C8E">
        <w:rPr>
          <w:rFonts w:cstheme="minorHAnsi"/>
          <w:bCs/>
        </w:rPr>
        <w:t xml:space="preserve"> </w:t>
      </w:r>
      <w:r w:rsidR="002A287E" w:rsidRPr="00D33C8E">
        <w:rPr>
          <w:rFonts w:cstheme="minorHAnsi"/>
          <w:bCs/>
        </w:rPr>
        <w:t>lai aktīvi iesaistītos globāla mēroga diskusijās</w:t>
      </w:r>
      <w:r w:rsidR="00CD1502" w:rsidRPr="00D33C8E">
        <w:rPr>
          <w:rFonts w:cstheme="minorHAnsi"/>
          <w:bCs/>
        </w:rPr>
        <w:t xml:space="preserve">, apmainītos un dalītos ar zināšanām un pieredzi, kā arī </w:t>
      </w:r>
      <w:r w:rsidR="002A287E" w:rsidRPr="00D33C8E">
        <w:rPr>
          <w:rFonts w:cstheme="minorHAnsi"/>
          <w:bCs/>
        </w:rPr>
        <w:t>īstenotu praktiskas iniciatīvas</w:t>
      </w:r>
      <w:r w:rsidR="00BE5AB3" w:rsidRPr="00D33C8E">
        <w:rPr>
          <w:rFonts w:cstheme="minorHAnsi"/>
          <w:bCs/>
        </w:rPr>
        <w:t xml:space="preserve">. </w:t>
      </w:r>
    </w:p>
    <w:p w14:paraId="0A6787A9" w14:textId="28420604" w:rsidR="00DE430E" w:rsidRDefault="00AD2BCD" w:rsidP="00753A30">
      <w:pPr>
        <w:spacing w:before="120" w:after="120" w:line="264" w:lineRule="auto"/>
        <w:jc w:val="both"/>
        <w:rPr>
          <w:rFonts w:cstheme="minorHAnsi"/>
        </w:rPr>
      </w:pPr>
      <w:r w:rsidRPr="00D33C8E">
        <w:rPr>
          <w:rFonts w:cstheme="minorHAnsi"/>
        </w:rPr>
        <w:t>Lai novērstu augstākminētos izaicinājumus</w:t>
      </w:r>
      <w:r w:rsidR="00255586" w:rsidRPr="00D33C8E">
        <w:rPr>
          <w:rFonts w:cstheme="minorHAnsi"/>
        </w:rPr>
        <w:t xml:space="preserve"> Plān</w:t>
      </w:r>
      <w:r w:rsidR="00945D6F" w:rsidRPr="00D33C8E">
        <w:rPr>
          <w:rFonts w:cstheme="minorHAnsi"/>
        </w:rPr>
        <w:t xml:space="preserve">a ietvaros </w:t>
      </w:r>
      <w:r w:rsidR="00F22171" w:rsidRPr="00D33C8E">
        <w:rPr>
          <w:rFonts w:cstheme="minorHAnsi"/>
        </w:rPr>
        <w:t>īpaš</w:t>
      </w:r>
      <w:r w:rsidR="00255586" w:rsidRPr="00D33C8E">
        <w:rPr>
          <w:rFonts w:cstheme="minorHAnsi"/>
        </w:rPr>
        <w:t xml:space="preserve">a uzmanība tiks pievērsta </w:t>
      </w:r>
      <w:r w:rsidR="00F22171" w:rsidRPr="00D33C8E">
        <w:rPr>
          <w:rFonts w:cstheme="minorHAnsi"/>
        </w:rPr>
        <w:t xml:space="preserve"> valsts pārvaldes ekspertu, pašvaldības, u.c. speciā</w:t>
      </w:r>
      <w:r w:rsidR="006F4FFC" w:rsidRPr="00D33C8E">
        <w:rPr>
          <w:rFonts w:cstheme="minorHAnsi"/>
        </w:rPr>
        <w:t>listu izglītošan</w:t>
      </w:r>
      <w:r w:rsidR="00255586" w:rsidRPr="00D33C8E">
        <w:rPr>
          <w:rFonts w:cstheme="minorHAnsi"/>
        </w:rPr>
        <w:t xml:space="preserve">ai par </w:t>
      </w:r>
      <w:r w:rsidR="006F4FFC" w:rsidRPr="00D33C8E">
        <w:rPr>
          <w:rFonts w:cstheme="minorHAnsi"/>
        </w:rPr>
        <w:t>dzimumu līdztiesības jautājum</w:t>
      </w:r>
      <w:r w:rsidR="00255586" w:rsidRPr="00D33C8E">
        <w:rPr>
          <w:rFonts w:cstheme="minorHAnsi"/>
        </w:rPr>
        <w:t>iem</w:t>
      </w:r>
      <w:r w:rsidR="006F4FFC" w:rsidRPr="00D33C8E">
        <w:rPr>
          <w:rFonts w:cstheme="minorHAnsi"/>
        </w:rPr>
        <w:t>, lai nodrošinātu dzimumu līdztiesības kā horizontāla principa iekļaušanu politikas plānošanas procesos. Šo pasākumu ietvaros tiks nodrošināta mācību programma,</w:t>
      </w:r>
      <w:r w:rsidR="00C53BA3" w:rsidRPr="00D33C8E">
        <w:rPr>
          <w:rFonts w:cstheme="minorHAnsi"/>
        </w:rPr>
        <w:t xml:space="preserve"> kā arī informatīvais un metodiskais atbalsts. </w:t>
      </w:r>
    </w:p>
    <w:p w14:paraId="07ED83ED" w14:textId="77777777" w:rsidR="00753A30" w:rsidRDefault="00753A30" w:rsidP="00753A30">
      <w:pPr>
        <w:spacing w:before="120" w:after="120" w:line="264" w:lineRule="auto"/>
        <w:jc w:val="both"/>
        <w:rPr>
          <w:rFonts w:cstheme="minorHAnsi"/>
        </w:rPr>
      </w:pPr>
    </w:p>
    <w:tbl>
      <w:tblPr>
        <w:tblStyle w:val="TableGrid"/>
        <w:tblW w:w="0" w:type="auto"/>
        <w:tblLook w:val="04A0" w:firstRow="1" w:lastRow="0" w:firstColumn="1" w:lastColumn="0" w:noHBand="0" w:noVBand="1"/>
      </w:tblPr>
      <w:tblGrid>
        <w:gridCol w:w="846"/>
        <w:gridCol w:w="2693"/>
        <w:gridCol w:w="2552"/>
        <w:gridCol w:w="2409"/>
        <w:gridCol w:w="1418"/>
        <w:gridCol w:w="1843"/>
        <w:gridCol w:w="1701"/>
      </w:tblGrid>
      <w:tr w:rsidR="00DB7F18" w:rsidRPr="00BF5500" w14:paraId="6CBF9AD6" w14:textId="77777777" w:rsidTr="004A5902">
        <w:tc>
          <w:tcPr>
            <w:tcW w:w="846" w:type="dxa"/>
            <w:shd w:val="clear" w:color="auto" w:fill="E2EFD9" w:themeFill="accent6" w:themeFillTint="33"/>
          </w:tcPr>
          <w:p w14:paraId="68AB4806" w14:textId="77777777" w:rsidR="00326962" w:rsidRPr="00BF5500" w:rsidRDefault="00326962" w:rsidP="00D226F5">
            <w:pPr>
              <w:spacing w:before="100" w:beforeAutospacing="1" w:after="100" w:afterAutospacing="1"/>
              <w:rPr>
                <w:sz w:val="22"/>
                <w:szCs w:val="22"/>
              </w:rPr>
            </w:pPr>
            <w:r w:rsidRPr="00BF5500">
              <w:rPr>
                <w:sz w:val="22"/>
                <w:szCs w:val="22"/>
              </w:rPr>
              <w:t xml:space="preserve">Nr. p. k. </w:t>
            </w:r>
          </w:p>
        </w:tc>
        <w:tc>
          <w:tcPr>
            <w:tcW w:w="2693" w:type="dxa"/>
            <w:shd w:val="clear" w:color="auto" w:fill="E2EFD9" w:themeFill="accent6" w:themeFillTint="33"/>
          </w:tcPr>
          <w:p w14:paraId="0DF6F4AF" w14:textId="77777777" w:rsidR="00326962" w:rsidRPr="00BF5500" w:rsidRDefault="00326962" w:rsidP="00D226F5">
            <w:pPr>
              <w:spacing w:before="100" w:beforeAutospacing="1" w:after="100" w:afterAutospacing="1"/>
              <w:rPr>
                <w:sz w:val="22"/>
                <w:szCs w:val="22"/>
              </w:rPr>
            </w:pPr>
            <w:r w:rsidRPr="00BF5500">
              <w:rPr>
                <w:sz w:val="22"/>
                <w:szCs w:val="22"/>
              </w:rPr>
              <w:t>Pasākums</w:t>
            </w:r>
          </w:p>
        </w:tc>
        <w:tc>
          <w:tcPr>
            <w:tcW w:w="2552" w:type="dxa"/>
            <w:shd w:val="clear" w:color="auto" w:fill="E2EFD9" w:themeFill="accent6" w:themeFillTint="33"/>
          </w:tcPr>
          <w:p w14:paraId="5615A3A2" w14:textId="77777777" w:rsidR="00326962" w:rsidRPr="00BF5500" w:rsidRDefault="00326962" w:rsidP="00D226F5">
            <w:pPr>
              <w:spacing w:before="100" w:beforeAutospacing="1" w:after="100" w:afterAutospacing="1"/>
              <w:rPr>
                <w:sz w:val="22"/>
                <w:szCs w:val="22"/>
              </w:rPr>
            </w:pPr>
            <w:r w:rsidRPr="00BF5500">
              <w:rPr>
                <w:sz w:val="22"/>
                <w:szCs w:val="22"/>
              </w:rPr>
              <w:t>Darbības rezultāts</w:t>
            </w:r>
          </w:p>
        </w:tc>
        <w:tc>
          <w:tcPr>
            <w:tcW w:w="2409" w:type="dxa"/>
            <w:shd w:val="clear" w:color="auto" w:fill="E2EFD9" w:themeFill="accent6" w:themeFillTint="33"/>
          </w:tcPr>
          <w:p w14:paraId="17335153" w14:textId="77777777" w:rsidR="00326962" w:rsidRPr="00BF5500" w:rsidRDefault="00326962" w:rsidP="00D226F5">
            <w:pPr>
              <w:spacing w:before="100" w:beforeAutospacing="1" w:after="100" w:afterAutospacing="1"/>
              <w:rPr>
                <w:sz w:val="22"/>
                <w:szCs w:val="22"/>
              </w:rPr>
            </w:pPr>
            <w:r w:rsidRPr="00BF5500">
              <w:rPr>
                <w:sz w:val="22"/>
                <w:szCs w:val="22"/>
              </w:rPr>
              <w:t>Rezultatīvais rādītājs</w:t>
            </w:r>
          </w:p>
        </w:tc>
        <w:tc>
          <w:tcPr>
            <w:tcW w:w="1418" w:type="dxa"/>
            <w:shd w:val="clear" w:color="auto" w:fill="E2EFD9" w:themeFill="accent6" w:themeFillTint="33"/>
          </w:tcPr>
          <w:p w14:paraId="26C39DF8" w14:textId="77777777" w:rsidR="00326962" w:rsidRPr="00BF5500" w:rsidRDefault="00326962" w:rsidP="00D226F5">
            <w:pPr>
              <w:spacing w:before="100" w:beforeAutospacing="1" w:after="100" w:afterAutospacing="1"/>
              <w:jc w:val="center"/>
              <w:rPr>
                <w:sz w:val="22"/>
                <w:szCs w:val="22"/>
              </w:rPr>
            </w:pPr>
            <w:r w:rsidRPr="00BF5500">
              <w:rPr>
                <w:sz w:val="22"/>
                <w:szCs w:val="22"/>
              </w:rPr>
              <w:t>Atbildīgā institūcija</w:t>
            </w:r>
          </w:p>
        </w:tc>
        <w:tc>
          <w:tcPr>
            <w:tcW w:w="1843" w:type="dxa"/>
            <w:shd w:val="clear" w:color="auto" w:fill="E2EFD9" w:themeFill="accent6" w:themeFillTint="33"/>
          </w:tcPr>
          <w:p w14:paraId="398FEB24" w14:textId="77777777" w:rsidR="00326962" w:rsidRPr="00BF5500" w:rsidRDefault="00326962" w:rsidP="00D226F5">
            <w:pPr>
              <w:spacing w:before="100" w:beforeAutospacing="1" w:after="100" w:afterAutospacing="1"/>
              <w:rPr>
                <w:sz w:val="22"/>
                <w:szCs w:val="22"/>
              </w:rPr>
            </w:pPr>
            <w:r w:rsidRPr="00BF5500">
              <w:rPr>
                <w:sz w:val="22"/>
                <w:szCs w:val="22"/>
              </w:rPr>
              <w:t>Iesaistītās institūcijas</w:t>
            </w:r>
          </w:p>
        </w:tc>
        <w:tc>
          <w:tcPr>
            <w:tcW w:w="1701" w:type="dxa"/>
            <w:shd w:val="clear" w:color="auto" w:fill="E2EFD9" w:themeFill="accent6" w:themeFillTint="33"/>
          </w:tcPr>
          <w:p w14:paraId="613C98D2" w14:textId="77777777" w:rsidR="00326962" w:rsidRPr="00BF5500" w:rsidRDefault="00326962" w:rsidP="00D226F5">
            <w:pPr>
              <w:spacing w:before="100" w:beforeAutospacing="1" w:after="100" w:afterAutospacing="1"/>
              <w:rPr>
                <w:sz w:val="22"/>
                <w:szCs w:val="22"/>
              </w:rPr>
            </w:pPr>
            <w:r w:rsidRPr="00BF5500">
              <w:rPr>
                <w:sz w:val="22"/>
                <w:szCs w:val="22"/>
              </w:rPr>
              <w:t>Īstenošanas termiņš</w:t>
            </w:r>
          </w:p>
        </w:tc>
      </w:tr>
      <w:tr w:rsidR="00FE2FE7" w:rsidRPr="00BF5500" w14:paraId="5BC5165E" w14:textId="77777777" w:rsidTr="004A5902">
        <w:trPr>
          <w:trHeight w:val="2150"/>
        </w:trPr>
        <w:tc>
          <w:tcPr>
            <w:tcW w:w="846" w:type="dxa"/>
            <w:vMerge w:val="restart"/>
          </w:tcPr>
          <w:p w14:paraId="51DE805A" w14:textId="38C759A6" w:rsidR="00BF5500" w:rsidRPr="00BF5500" w:rsidRDefault="001D03BE" w:rsidP="00BF5500">
            <w:pPr>
              <w:spacing w:before="100" w:beforeAutospacing="1" w:after="100" w:afterAutospacing="1"/>
              <w:rPr>
                <w:sz w:val="22"/>
                <w:szCs w:val="22"/>
              </w:rPr>
            </w:pPr>
            <w:r>
              <w:rPr>
                <w:sz w:val="22"/>
                <w:szCs w:val="22"/>
              </w:rPr>
              <w:t>11</w:t>
            </w:r>
            <w:r w:rsidR="00BF5500" w:rsidRPr="00BF5500">
              <w:rPr>
                <w:sz w:val="22"/>
                <w:szCs w:val="22"/>
              </w:rPr>
              <w:t xml:space="preserve">. </w:t>
            </w:r>
          </w:p>
        </w:tc>
        <w:tc>
          <w:tcPr>
            <w:tcW w:w="2693" w:type="dxa"/>
            <w:vMerge w:val="restart"/>
          </w:tcPr>
          <w:p w14:paraId="5FEED99B" w14:textId="52C70840" w:rsidR="00BF5500" w:rsidRPr="00BF5500" w:rsidRDefault="00BF5500" w:rsidP="00CF5E12">
            <w:pPr>
              <w:spacing w:before="100" w:beforeAutospacing="1" w:after="100" w:afterAutospacing="1"/>
              <w:jc w:val="both"/>
              <w:rPr>
                <w:sz w:val="22"/>
                <w:szCs w:val="22"/>
              </w:rPr>
            </w:pPr>
            <w:r w:rsidRPr="00BF5500">
              <w:rPr>
                <w:sz w:val="22"/>
                <w:szCs w:val="22"/>
              </w:rPr>
              <w:t>Valsts pārvaldes ekspertu, pašvaldības u.c. speciālistu izglītošana dzimumu līdztiesības jautājumos</w:t>
            </w:r>
          </w:p>
        </w:tc>
        <w:tc>
          <w:tcPr>
            <w:tcW w:w="2552" w:type="dxa"/>
            <w:vMerge w:val="restart"/>
          </w:tcPr>
          <w:p w14:paraId="691EF223" w14:textId="2E9AB3FC" w:rsidR="00BF5500" w:rsidRPr="00BF5500" w:rsidRDefault="001D03BE" w:rsidP="00CF5E12">
            <w:pPr>
              <w:spacing w:before="100" w:beforeAutospacing="1" w:after="100" w:afterAutospacing="1"/>
              <w:jc w:val="both"/>
              <w:rPr>
                <w:sz w:val="22"/>
                <w:szCs w:val="22"/>
              </w:rPr>
            </w:pPr>
            <w:r>
              <w:rPr>
                <w:sz w:val="22"/>
                <w:szCs w:val="22"/>
              </w:rPr>
              <w:t>11</w:t>
            </w:r>
            <w:r w:rsidR="00BF5500" w:rsidRPr="00BF5500">
              <w:rPr>
                <w:sz w:val="22"/>
                <w:szCs w:val="22"/>
              </w:rPr>
              <w:t xml:space="preserve">.1. Veikta valsts un pašvaldību iestāžu darbinieku izglītošana un informēšana par dzimumu  līdztiesības un nediskriminācijas principa integrēšanu politikas </w:t>
            </w:r>
            <w:r w:rsidR="00BF5500" w:rsidRPr="00BF5500">
              <w:rPr>
                <w:sz w:val="22"/>
                <w:szCs w:val="22"/>
              </w:rPr>
              <w:lastRenderedPageBreak/>
              <w:t>plānošanas, īstenošanas un novērtēšanas proces</w:t>
            </w:r>
            <w:r w:rsidR="007C3BFD">
              <w:rPr>
                <w:sz w:val="22"/>
                <w:szCs w:val="22"/>
              </w:rPr>
              <w:t>os</w:t>
            </w:r>
          </w:p>
        </w:tc>
        <w:tc>
          <w:tcPr>
            <w:tcW w:w="2409" w:type="dxa"/>
          </w:tcPr>
          <w:p w14:paraId="633C18F5" w14:textId="594228F5" w:rsidR="00BF5500" w:rsidRDefault="00480C75" w:rsidP="00CF5E12">
            <w:pPr>
              <w:spacing w:before="100" w:beforeAutospacing="1" w:after="100" w:afterAutospacing="1"/>
              <w:jc w:val="both"/>
              <w:rPr>
                <w:b/>
                <w:bCs/>
                <w:sz w:val="22"/>
                <w:szCs w:val="22"/>
              </w:rPr>
            </w:pPr>
            <w:r>
              <w:rPr>
                <w:b/>
                <w:bCs/>
                <w:sz w:val="22"/>
                <w:szCs w:val="22"/>
              </w:rPr>
              <w:lastRenderedPageBreak/>
              <w:t xml:space="preserve">Sagatavota </w:t>
            </w:r>
            <w:r w:rsidR="00BF5500" w:rsidRPr="00BF5500">
              <w:rPr>
                <w:b/>
                <w:bCs/>
                <w:sz w:val="22"/>
                <w:szCs w:val="22"/>
              </w:rPr>
              <w:t xml:space="preserve">1 mācību  programma </w:t>
            </w:r>
          </w:p>
          <w:p w14:paraId="080511AE" w14:textId="72C93D7E" w:rsidR="00BF5500" w:rsidRPr="00BF5500" w:rsidRDefault="005B1DDD" w:rsidP="00CF5E12">
            <w:pPr>
              <w:spacing w:before="100" w:beforeAutospacing="1" w:after="100" w:afterAutospacing="1"/>
              <w:jc w:val="both"/>
              <w:rPr>
                <w:sz w:val="22"/>
                <w:szCs w:val="22"/>
              </w:rPr>
            </w:pPr>
            <w:r>
              <w:rPr>
                <w:sz w:val="22"/>
                <w:szCs w:val="22"/>
              </w:rPr>
              <w:t xml:space="preserve">Apmācīti </w:t>
            </w:r>
            <w:r w:rsidR="00F46708">
              <w:rPr>
                <w:sz w:val="22"/>
                <w:szCs w:val="22"/>
              </w:rPr>
              <w:t>vismaz 1000 politikas veidošanā un īstenošanā iesaistītie speciālisti</w:t>
            </w:r>
            <w:r w:rsidR="00BF5500" w:rsidRPr="00BF5500">
              <w:rPr>
                <w:sz w:val="22"/>
                <w:szCs w:val="22"/>
                <w:vertAlign w:val="superscript"/>
              </w:rPr>
              <w:footnoteReference w:id="45"/>
            </w:r>
          </w:p>
        </w:tc>
        <w:tc>
          <w:tcPr>
            <w:tcW w:w="1418" w:type="dxa"/>
          </w:tcPr>
          <w:p w14:paraId="4583E500" w14:textId="2D490D60" w:rsidR="00BF5500" w:rsidRPr="00BF5500" w:rsidRDefault="00BF5500" w:rsidP="00BF5500">
            <w:pPr>
              <w:spacing w:before="100" w:beforeAutospacing="1" w:after="100" w:afterAutospacing="1"/>
              <w:rPr>
                <w:sz w:val="22"/>
                <w:szCs w:val="22"/>
              </w:rPr>
            </w:pPr>
            <w:r w:rsidRPr="00BF5500">
              <w:rPr>
                <w:sz w:val="22"/>
                <w:szCs w:val="22"/>
              </w:rPr>
              <w:t>LM</w:t>
            </w:r>
          </w:p>
        </w:tc>
        <w:tc>
          <w:tcPr>
            <w:tcW w:w="1843" w:type="dxa"/>
          </w:tcPr>
          <w:p w14:paraId="6FF511F4" w14:textId="6B20A3D8" w:rsidR="00BF5500" w:rsidRPr="00BF5500" w:rsidRDefault="00480C75" w:rsidP="00BF5500">
            <w:pPr>
              <w:spacing w:before="100" w:beforeAutospacing="1" w:after="100" w:afterAutospacing="1"/>
              <w:rPr>
                <w:sz w:val="22"/>
                <w:szCs w:val="22"/>
              </w:rPr>
            </w:pPr>
            <w:r>
              <w:rPr>
                <w:sz w:val="22"/>
                <w:szCs w:val="22"/>
              </w:rPr>
              <w:t>VAS</w:t>
            </w:r>
          </w:p>
        </w:tc>
        <w:tc>
          <w:tcPr>
            <w:tcW w:w="1701" w:type="dxa"/>
          </w:tcPr>
          <w:p w14:paraId="27BEBF7E" w14:textId="77777777" w:rsidR="00BF5500" w:rsidRPr="00BF5500" w:rsidRDefault="00BF5500" w:rsidP="00BF5500">
            <w:pPr>
              <w:spacing w:before="100" w:beforeAutospacing="1" w:after="100" w:afterAutospacing="1"/>
              <w:rPr>
                <w:sz w:val="22"/>
                <w:szCs w:val="22"/>
              </w:rPr>
            </w:pPr>
            <w:r w:rsidRPr="00BF5500">
              <w:rPr>
                <w:sz w:val="22"/>
                <w:szCs w:val="22"/>
              </w:rPr>
              <w:t>2027. gada 4. ceturksnis</w:t>
            </w:r>
          </w:p>
        </w:tc>
      </w:tr>
      <w:tr w:rsidR="00FE2FE7" w:rsidRPr="00BF5500" w14:paraId="33C36E24" w14:textId="77777777" w:rsidTr="003B4A9F">
        <w:trPr>
          <w:trHeight w:val="1395"/>
        </w:trPr>
        <w:tc>
          <w:tcPr>
            <w:tcW w:w="846" w:type="dxa"/>
            <w:vMerge/>
          </w:tcPr>
          <w:p w14:paraId="32F80CEF" w14:textId="77777777" w:rsidR="00BF5500" w:rsidRPr="00BF5500" w:rsidRDefault="00BF5500" w:rsidP="00BF5500">
            <w:pPr>
              <w:spacing w:before="100" w:beforeAutospacing="1" w:after="100" w:afterAutospacing="1"/>
              <w:rPr>
                <w:sz w:val="22"/>
                <w:szCs w:val="22"/>
              </w:rPr>
            </w:pPr>
          </w:p>
        </w:tc>
        <w:tc>
          <w:tcPr>
            <w:tcW w:w="2693" w:type="dxa"/>
            <w:vMerge/>
          </w:tcPr>
          <w:p w14:paraId="7114FF2B" w14:textId="77777777" w:rsidR="00BF5500" w:rsidRPr="00BF5500" w:rsidRDefault="00BF5500" w:rsidP="00BF5500">
            <w:pPr>
              <w:spacing w:before="100" w:beforeAutospacing="1" w:after="100" w:afterAutospacing="1"/>
              <w:rPr>
                <w:sz w:val="22"/>
                <w:szCs w:val="22"/>
              </w:rPr>
            </w:pPr>
          </w:p>
        </w:tc>
        <w:tc>
          <w:tcPr>
            <w:tcW w:w="2552" w:type="dxa"/>
            <w:vMerge/>
          </w:tcPr>
          <w:p w14:paraId="4D8E065D" w14:textId="77777777" w:rsidR="00BF5500" w:rsidRPr="00BF5500" w:rsidRDefault="00BF5500" w:rsidP="00BF5500">
            <w:pPr>
              <w:spacing w:before="100" w:beforeAutospacing="1" w:after="100" w:afterAutospacing="1"/>
              <w:rPr>
                <w:sz w:val="22"/>
                <w:szCs w:val="22"/>
              </w:rPr>
            </w:pPr>
          </w:p>
        </w:tc>
        <w:tc>
          <w:tcPr>
            <w:tcW w:w="2409" w:type="dxa"/>
          </w:tcPr>
          <w:p w14:paraId="5C96ED6F" w14:textId="2EB2F1A2" w:rsidR="00BF5500" w:rsidRPr="00BF5500" w:rsidRDefault="00A332EA" w:rsidP="00CF5E12">
            <w:pPr>
              <w:spacing w:before="100" w:beforeAutospacing="1" w:after="100" w:afterAutospacing="1"/>
              <w:jc w:val="both"/>
              <w:rPr>
                <w:sz w:val="22"/>
                <w:szCs w:val="22"/>
              </w:rPr>
            </w:pPr>
            <w:r w:rsidRPr="00D647ED">
              <w:rPr>
                <w:sz w:val="22"/>
                <w:szCs w:val="22"/>
              </w:rPr>
              <w:t>I</w:t>
            </w:r>
            <w:r w:rsidR="0056618F" w:rsidRPr="00D647ED">
              <w:rPr>
                <w:sz w:val="22"/>
                <w:szCs w:val="22"/>
              </w:rPr>
              <w:t>z</w:t>
            </w:r>
            <w:r w:rsidRPr="00D647ED">
              <w:rPr>
                <w:sz w:val="22"/>
                <w:szCs w:val="22"/>
              </w:rPr>
              <w:t xml:space="preserve">strādāta </w:t>
            </w:r>
            <w:r w:rsidR="00BF5500" w:rsidRPr="00D647ED">
              <w:rPr>
                <w:sz w:val="22"/>
                <w:szCs w:val="22"/>
              </w:rPr>
              <w:t>digitāla</w:t>
            </w:r>
            <w:r w:rsidR="006706D1">
              <w:rPr>
                <w:sz w:val="22"/>
                <w:szCs w:val="22"/>
              </w:rPr>
              <w:t xml:space="preserve"> </w:t>
            </w:r>
            <w:r w:rsidR="00BF5500" w:rsidRPr="00D647ED">
              <w:rPr>
                <w:sz w:val="22"/>
                <w:szCs w:val="22"/>
              </w:rPr>
              <w:t>rokasgrāmata nozaru politikas veidotājiem</w:t>
            </w:r>
            <w:r w:rsidR="00BF5500" w:rsidRPr="00BF5500">
              <w:rPr>
                <w:sz w:val="22"/>
                <w:szCs w:val="22"/>
                <w:vertAlign w:val="superscript"/>
              </w:rPr>
              <w:footnoteReference w:id="46"/>
            </w:r>
          </w:p>
        </w:tc>
        <w:tc>
          <w:tcPr>
            <w:tcW w:w="1418" w:type="dxa"/>
          </w:tcPr>
          <w:p w14:paraId="251F9863"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843" w:type="dxa"/>
          </w:tcPr>
          <w:p w14:paraId="4825D85E" w14:textId="77777777" w:rsidR="00BF5500" w:rsidRPr="00BF5500" w:rsidRDefault="00BF5500" w:rsidP="00BF5500">
            <w:pPr>
              <w:spacing w:before="100" w:beforeAutospacing="1" w:after="100" w:afterAutospacing="1"/>
              <w:rPr>
                <w:sz w:val="22"/>
                <w:szCs w:val="22"/>
              </w:rPr>
            </w:pPr>
          </w:p>
        </w:tc>
        <w:tc>
          <w:tcPr>
            <w:tcW w:w="1701" w:type="dxa"/>
          </w:tcPr>
          <w:p w14:paraId="6EEA7625" w14:textId="715FEAD3" w:rsidR="00BF5500" w:rsidRPr="00BF5500" w:rsidRDefault="00BF5500" w:rsidP="00BF5500">
            <w:pPr>
              <w:spacing w:before="100" w:beforeAutospacing="1" w:after="100" w:afterAutospacing="1"/>
              <w:rPr>
                <w:sz w:val="22"/>
                <w:szCs w:val="22"/>
              </w:rPr>
            </w:pPr>
            <w:r w:rsidRPr="00BF5500">
              <w:rPr>
                <w:sz w:val="22"/>
                <w:szCs w:val="22"/>
              </w:rPr>
              <w:t>202</w:t>
            </w:r>
            <w:r w:rsidR="009F7159">
              <w:rPr>
                <w:sz w:val="22"/>
                <w:szCs w:val="22"/>
              </w:rPr>
              <w:t>5</w:t>
            </w:r>
            <w:r w:rsidRPr="00BF5500">
              <w:rPr>
                <w:sz w:val="22"/>
                <w:szCs w:val="22"/>
              </w:rPr>
              <w:t xml:space="preserve">. gada </w:t>
            </w:r>
            <w:r w:rsidR="009F7159">
              <w:rPr>
                <w:sz w:val="22"/>
                <w:szCs w:val="22"/>
              </w:rPr>
              <w:t>2</w:t>
            </w:r>
            <w:r w:rsidRPr="00BF5500">
              <w:rPr>
                <w:sz w:val="22"/>
                <w:szCs w:val="22"/>
              </w:rPr>
              <w:t>. ceturksnis</w:t>
            </w:r>
          </w:p>
        </w:tc>
      </w:tr>
      <w:tr w:rsidR="00FE2FE7" w:rsidRPr="00BF5500" w14:paraId="24127BCD" w14:textId="77777777" w:rsidTr="004A5902">
        <w:tc>
          <w:tcPr>
            <w:tcW w:w="846" w:type="dxa"/>
          </w:tcPr>
          <w:p w14:paraId="6B6528ED" w14:textId="77777777" w:rsidR="00BF5500" w:rsidRPr="00BF5500" w:rsidRDefault="00BF5500" w:rsidP="00BF5500">
            <w:pPr>
              <w:spacing w:before="100" w:beforeAutospacing="1" w:after="100" w:afterAutospacing="1"/>
              <w:rPr>
                <w:sz w:val="22"/>
                <w:szCs w:val="22"/>
              </w:rPr>
            </w:pPr>
          </w:p>
        </w:tc>
        <w:tc>
          <w:tcPr>
            <w:tcW w:w="2693" w:type="dxa"/>
          </w:tcPr>
          <w:p w14:paraId="22E001BD" w14:textId="77777777" w:rsidR="00BF5500" w:rsidRPr="00BF5500" w:rsidRDefault="00BF5500" w:rsidP="00BF5500">
            <w:pPr>
              <w:spacing w:before="100" w:beforeAutospacing="1" w:after="100" w:afterAutospacing="1"/>
              <w:rPr>
                <w:sz w:val="22"/>
                <w:szCs w:val="22"/>
              </w:rPr>
            </w:pPr>
          </w:p>
        </w:tc>
        <w:tc>
          <w:tcPr>
            <w:tcW w:w="2552" w:type="dxa"/>
          </w:tcPr>
          <w:p w14:paraId="06AF6A08" w14:textId="77777777" w:rsidR="00BF5500" w:rsidRPr="00BF5500" w:rsidRDefault="00BF5500" w:rsidP="00BF5500">
            <w:pPr>
              <w:spacing w:before="100" w:beforeAutospacing="1" w:after="100" w:afterAutospacing="1"/>
              <w:rPr>
                <w:sz w:val="22"/>
                <w:szCs w:val="22"/>
              </w:rPr>
            </w:pPr>
          </w:p>
        </w:tc>
        <w:tc>
          <w:tcPr>
            <w:tcW w:w="2409" w:type="dxa"/>
          </w:tcPr>
          <w:p w14:paraId="12837B7E" w14:textId="1096880D" w:rsidR="00BF5500" w:rsidRPr="00BF5500" w:rsidRDefault="0056618F" w:rsidP="00CF5E12">
            <w:pPr>
              <w:spacing w:before="100" w:beforeAutospacing="1" w:after="100" w:afterAutospacing="1"/>
              <w:jc w:val="both"/>
              <w:rPr>
                <w:sz w:val="22"/>
                <w:szCs w:val="22"/>
              </w:rPr>
            </w:pPr>
            <w:r>
              <w:rPr>
                <w:b/>
                <w:bCs/>
                <w:sz w:val="22"/>
                <w:szCs w:val="22"/>
              </w:rPr>
              <w:t xml:space="preserve">Organizēti vismaz </w:t>
            </w:r>
            <w:r w:rsidR="00BF5500" w:rsidRPr="00BF5500">
              <w:rPr>
                <w:b/>
                <w:bCs/>
                <w:sz w:val="22"/>
                <w:szCs w:val="22"/>
              </w:rPr>
              <w:t xml:space="preserve">10 klātienes informatīvie un </w:t>
            </w:r>
            <w:r>
              <w:rPr>
                <w:b/>
                <w:bCs/>
                <w:sz w:val="22"/>
                <w:szCs w:val="22"/>
              </w:rPr>
              <w:t>izglīt</w:t>
            </w:r>
            <w:r w:rsidR="00CF5E12">
              <w:rPr>
                <w:b/>
                <w:bCs/>
                <w:sz w:val="22"/>
                <w:szCs w:val="22"/>
              </w:rPr>
              <w:t>o</w:t>
            </w:r>
            <w:r>
              <w:rPr>
                <w:b/>
                <w:bCs/>
                <w:sz w:val="22"/>
                <w:szCs w:val="22"/>
              </w:rPr>
              <w:t xml:space="preserve">jošie pasākumi </w:t>
            </w:r>
            <w:r w:rsidR="00BF5500" w:rsidRPr="00BF5500">
              <w:rPr>
                <w:sz w:val="22"/>
                <w:szCs w:val="22"/>
              </w:rPr>
              <w:t>par aktualitātēm un problēmjautājumiem vienlīdzīgu iespēju un nediskriminācijas jomā, vienotas izpratnes un prakses veidošanai politikas veidotājiem un īstenotājiem</w:t>
            </w:r>
            <w:r w:rsidR="00BF5500" w:rsidRPr="00BF5500">
              <w:rPr>
                <w:sz w:val="22"/>
                <w:szCs w:val="22"/>
                <w:vertAlign w:val="superscript"/>
              </w:rPr>
              <w:footnoteReference w:id="47"/>
            </w:r>
          </w:p>
        </w:tc>
        <w:tc>
          <w:tcPr>
            <w:tcW w:w="1418" w:type="dxa"/>
          </w:tcPr>
          <w:p w14:paraId="5925484B"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843" w:type="dxa"/>
          </w:tcPr>
          <w:p w14:paraId="065355F1" w14:textId="77777777" w:rsidR="00BF5500" w:rsidRPr="00BF5500" w:rsidRDefault="00BF5500" w:rsidP="00BF5500">
            <w:pPr>
              <w:spacing w:before="100" w:beforeAutospacing="1" w:after="100" w:afterAutospacing="1"/>
              <w:rPr>
                <w:sz w:val="22"/>
                <w:szCs w:val="22"/>
              </w:rPr>
            </w:pPr>
          </w:p>
        </w:tc>
        <w:tc>
          <w:tcPr>
            <w:tcW w:w="1701" w:type="dxa"/>
          </w:tcPr>
          <w:p w14:paraId="4614B938" w14:textId="77777777" w:rsidR="00BF5500" w:rsidRPr="00BF5500" w:rsidRDefault="00BF5500" w:rsidP="00BF5500">
            <w:pPr>
              <w:spacing w:before="100" w:beforeAutospacing="1" w:after="100" w:afterAutospacing="1"/>
              <w:rPr>
                <w:sz w:val="22"/>
                <w:szCs w:val="22"/>
              </w:rPr>
            </w:pPr>
            <w:r w:rsidRPr="00BF5500">
              <w:rPr>
                <w:sz w:val="22"/>
                <w:szCs w:val="22"/>
              </w:rPr>
              <w:t>2027. gada 4. ceturksnis</w:t>
            </w:r>
          </w:p>
        </w:tc>
      </w:tr>
      <w:tr w:rsidR="00FE2FE7" w:rsidRPr="00BF5500" w14:paraId="6D346C44" w14:textId="77777777" w:rsidTr="004A5902">
        <w:tc>
          <w:tcPr>
            <w:tcW w:w="846" w:type="dxa"/>
          </w:tcPr>
          <w:p w14:paraId="0A8D705E" w14:textId="77777777" w:rsidR="002468C5" w:rsidRPr="00BF5500" w:rsidRDefault="002468C5" w:rsidP="002468C5">
            <w:pPr>
              <w:spacing w:before="100" w:beforeAutospacing="1" w:after="100" w:afterAutospacing="1"/>
              <w:rPr>
                <w:sz w:val="22"/>
                <w:szCs w:val="22"/>
              </w:rPr>
            </w:pPr>
          </w:p>
        </w:tc>
        <w:tc>
          <w:tcPr>
            <w:tcW w:w="2693" w:type="dxa"/>
          </w:tcPr>
          <w:p w14:paraId="6F1C8ADB" w14:textId="77777777" w:rsidR="002468C5" w:rsidRPr="00BF5500" w:rsidRDefault="002468C5" w:rsidP="002468C5">
            <w:pPr>
              <w:spacing w:before="100" w:beforeAutospacing="1" w:after="100" w:afterAutospacing="1"/>
              <w:rPr>
                <w:sz w:val="22"/>
                <w:szCs w:val="22"/>
              </w:rPr>
            </w:pPr>
          </w:p>
        </w:tc>
        <w:tc>
          <w:tcPr>
            <w:tcW w:w="2552" w:type="dxa"/>
          </w:tcPr>
          <w:p w14:paraId="3507E30E" w14:textId="77777777" w:rsidR="002468C5" w:rsidRPr="00BF5500" w:rsidRDefault="002468C5" w:rsidP="002468C5">
            <w:pPr>
              <w:spacing w:before="100" w:beforeAutospacing="1" w:after="100" w:afterAutospacing="1"/>
              <w:rPr>
                <w:sz w:val="22"/>
                <w:szCs w:val="22"/>
              </w:rPr>
            </w:pPr>
          </w:p>
        </w:tc>
        <w:tc>
          <w:tcPr>
            <w:tcW w:w="2409" w:type="dxa"/>
          </w:tcPr>
          <w:p w14:paraId="0A9E4E5B" w14:textId="7B827B92" w:rsidR="002468C5" w:rsidRPr="009430BD" w:rsidRDefault="002468C5" w:rsidP="006917E7">
            <w:pPr>
              <w:spacing w:before="100" w:beforeAutospacing="1" w:after="100" w:afterAutospacing="1"/>
              <w:jc w:val="both"/>
              <w:rPr>
                <w:b/>
                <w:bCs/>
                <w:sz w:val="22"/>
                <w:szCs w:val="22"/>
              </w:rPr>
            </w:pPr>
            <w:r w:rsidRPr="00D647ED">
              <w:rPr>
                <w:b/>
                <w:bCs/>
                <w:sz w:val="22"/>
                <w:szCs w:val="22"/>
              </w:rPr>
              <w:t xml:space="preserve">Vadlīnijās pašvaldībām cilvēkresursu pārvaldības jautājumos </w:t>
            </w:r>
            <w:r w:rsidRPr="00D647ED">
              <w:rPr>
                <w:sz w:val="22"/>
                <w:szCs w:val="22"/>
              </w:rPr>
              <w:t xml:space="preserve">ietverti </w:t>
            </w:r>
            <w:r w:rsidRPr="00D647ED">
              <w:rPr>
                <w:rFonts w:cstheme="minorHAnsi"/>
                <w:sz w:val="22"/>
                <w:szCs w:val="22"/>
              </w:rPr>
              <w:t>iekļaujošas darba vides aspekti</w:t>
            </w:r>
            <w:r w:rsidRPr="00D647ED">
              <w:rPr>
                <w:rStyle w:val="FootnoteReference"/>
                <w:rFonts w:cstheme="minorHAnsi"/>
                <w:sz w:val="22"/>
                <w:szCs w:val="22"/>
              </w:rPr>
              <w:footnoteReference w:id="48"/>
            </w:r>
          </w:p>
        </w:tc>
        <w:tc>
          <w:tcPr>
            <w:tcW w:w="1418" w:type="dxa"/>
          </w:tcPr>
          <w:p w14:paraId="7630AA5C" w14:textId="33F6F3E6" w:rsidR="002468C5" w:rsidRPr="009430BD" w:rsidRDefault="002468C5" w:rsidP="002468C5">
            <w:pPr>
              <w:spacing w:before="100" w:beforeAutospacing="1" w:after="100" w:afterAutospacing="1"/>
              <w:rPr>
                <w:sz w:val="22"/>
                <w:szCs w:val="22"/>
              </w:rPr>
            </w:pPr>
            <w:r w:rsidRPr="00D647ED">
              <w:rPr>
                <w:sz w:val="22"/>
                <w:szCs w:val="22"/>
              </w:rPr>
              <w:t>VK</w:t>
            </w:r>
          </w:p>
        </w:tc>
        <w:tc>
          <w:tcPr>
            <w:tcW w:w="1843" w:type="dxa"/>
          </w:tcPr>
          <w:p w14:paraId="44047931" w14:textId="23F7971F" w:rsidR="002468C5" w:rsidRPr="009430BD" w:rsidRDefault="002468C5" w:rsidP="002468C5">
            <w:pPr>
              <w:spacing w:before="100" w:beforeAutospacing="1" w:after="100" w:afterAutospacing="1"/>
              <w:rPr>
                <w:sz w:val="22"/>
                <w:szCs w:val="22"/>
              </w:rPr>
            </w:pPr>
            <w:r w:rsidRPr="00D647ED">
              <w:rPr>
                <w:sz w:val="22"/>
                <w:szCs w:val="22"/>
              </w:rPr>
              <w:t>pašvaldības</w:t>
            </w:r>
          </w:p>
        </w:tc>
        <w:tc>
          <w:tcPr>
            <w:tcW w:w="1701" w:type="dxa"/>
          </w:tcPr>
          <w:p w14:paraId="7AAA2AAF" w14:textId="6C6D4E8F" w:rsidR="002468C5" w:rsidRPr="008A1D87" w:rsidRDefault="002468C5" w:rsidP="002468C5">
            <w:pPr>
              <w:spacing w:before="100" w:beforeAutospacing="1" w:after="100" w:afterAutospacing="1"/>
              <w:rPr>
                <w:sz w:val="22"/>
                <w:szCs w:val="22"/>
              </w:rPr>
            </w:pPr>
            <w:r w:rsidRPr="00D647ED">
              <w:rPr>
                <w:sz w:val="22"/>
                <w:szCs w:val="22"/>
              </w:rPr>
              <w:t>2024. gada 4. ceturksnis</w:t>
            </w:r>
          </w:p>
        </w:tc>
      </w:tr>
      <w:tr w:rsidR="00753A30" w:rsidRPr="00753A30" w14:paraId="2F6602B7" w14:textId="77777777" w:rsidTr="004A5902">
        <w:tc>
          <w:tcPr>
            <w:tcW w:w="846" w:type="dxa"/>
          </w:tcPr>
          <w:p w14:paraId="4DA27494" w14:textId="77777777" w:rsidR="002468C5" w:rsidRPr="00753A30" w:rsidRDefault="002468C5" w:rsidP="00753A30">
            <w:pPr>
              <w:spacing w:before="100" w:beforeAutospacing="1" w:after="100" w:afterAutospacing="1"/>
              <w:rPr>
                <w:sz w:val="22"/>
                <w:szCs w:val="22"/>
              </w:rPr>
            </w:pPr>
          </w:p>
        </w:tc>
        <w:tc>
          <w:tcPr>
            <w:tcW w:w="2693" w:type="dxa"/>
          </w:tcPr>
          <w:p w14:paraId="6C5F435B" w14:textId="77777777" w:rsidR="002468C5" w:rsidRPr="00753A30" w:rsidRDefault="002468C5" w:rsidP="00753A30">
            <w:pPr>
              <w:spacing w:before="100" w:beforeAutospacing="1" w:after="100" w:afterAutospacing="1"/>
              <w:rPr>
                <w:sz w:val="22"/>
                <w:szCs w:val="22"/>
              </w:rPr>
            </w:pPr>
          </w:p>
        </w:tc>
        <w:tc>
          <w:tcPr>
            <w:tcW w:w="2552" w:type="dxa"/>
          </w:tcPr>
          <w:p w14:paraId="1DA7E1FD" w14:textId="77777777" w:rsidR="002468C5" w:rsidRPr="00753A30" w:rsidRDefault="002468C5" w:rsidP="00753A30">
            <w:pPr>
              <w:spacing w:before="100" w:beforeAutospacing="1" w:after="100" w:afterAutospacing="1"/>
              <w:rPr>
                <w:sz w:val="22"/>
                <w:szCs w:val="22"/>
              </w:rPr>
            </w:pPr>
          </w:p>
        </w:tc>
        <w:tc>
          <w:tcPr>
            <w:tcW w:w="2409" w:type="dxa"/>
          </w:tcPr>
          <w:p w14:paraId="4C9557FD" w14:textId="386BBD09" w:rsidR="002468C5" w:rsidRPr="00753A30" w:rsidRDefault="002468C5" w:rsidP="006917E7">
            <w:pPr>
              <w:spacing w:before="100" w:beforeAutospacing="1" w:after="100" w:afterAutospacing="1"/>
              <w:jc w:val="both"/>
              <w:rPr>
                <w:b/>
                <w:bCs/>
                <w:sz w:val="22"/>
                <w:szCs w:val="22"/>
              </w:rPr>
            </w:pPr>
            <w:r w:rsidRPr="00753A30">
              <w:rPr>
                <w:rFonts w:cstheme="minorHAnsi"/>
                <w:sz w:val="22"/>
                <w:szCs w:val="22"/>
                <w:shd w:val="clear" w:color="auto" w:fill="FFFFFF"/>
              </w:rPr>
              <w:t xml:space="preserve">Valsts pārvaldes </w:t>
            </w:r>
            <w:r w:rsidRPr="00753A30">
              <w:rPr>
                <w:rFonts w:cstheme="minorHAnsi"/>
                <w:b/>
                <w:bCs/>
                <w:sz w:val="22"/>
                <w:szCs w:val="22"/>
                <w:shd w:val="clear" w:color="auto" w:fill="FFFFFF"/>
              </w:rPr>
              <w:t>augstākā līmeņa vadītāju kompetences paaugstināšanas pasākumos</w:t>
            </w:r>
            <w:r w:rsidRPr="00753A30">
              <w:rPr>
                <w:rFonts w:cstheme="minorHAnsi"/>
                <w:sz w:val="22"/>
                <w:szCs w:val="22"/>
                <w:shd w:val="clear" w:color="auto" w:fill="FFFFFF"/>
              </w:rPr>
              <w:t xml:space="preserve"> iekļauti </w:t>
            </w:r>
            <w:r w:rsidRPr="00753A30">
              <w:rPr>
                <w:rFonts w:cstheme="minorHAnsi"/>
                <w:sz w:val="22"/>
                <w:szCs w:val="22"/>
              </w:rPr>
              <w:t xml:space="preserve">iekļaujošas darba vides </w:t>
            </w:r>
            <w:r w:rsidRPr="00753A30">
              <w:rPr>
                <w:rFonts w:cstheme="minorHAnsi"/>
                <w:sz w:val="22"/>
                <w:szCs w:val="22"/>
              </w:rPr>
              <w:lastRenderedPageBreak/>
              <w:t>un diskriminācijas novēršanas jautājumi</w:t>
            </w:r>
            <w:r w:rsidRPr="00753A30">
              <w:rPr>
                <w:rStyle w:val="FootnoteReference"/>
                <w:rFonts w:cstheme="minorHAnsi"/>
                <w:sz w:val="22"/>
                <w:szCs w:val="22"/>
              </w:rPr>
              <w:footnoteReference w:id="49"/>
            </w:r>
          </w:p>
        </w:tc>
        <w:tc>
          <w:tcPr>
            <w:tcW w:w="1418" w:type="dxa"/>
          </w:tcPr>
          <w:p w14:paraId="185D5DC7" w14:textId="623A0EE1" w:rsidR="002468C5" w:rsidRPr="00753A30" w:rsidRDefault="002468C5" w:rsidP="00753A30">
            <w:pPr>
              <w:spacing w:before="100" w:beforeAutospacing="1" w:after="100" w:afterAutospacing="1"/>
              <w:rPr>
                <w:sz w:val="22"/>
                <w:szCs w:val="22"/>
              </w:rPr>
            </w:pPr>
            <w:r w:rsidRPr="00753A30">
              <w:rPr>
                <w:sz w:val="22"/>
                <w:szCs w:val="22"/>
              </w:rPr>
              <w:lastRenderedPageBreak/>
              <w:t>VK</w:t>
            </w:r>
          </w:p>
        </w:tc>
        <w:tc>
          <w:tcPr>
            <w:tcW w:w="1843" w:type="dxa"/>
          </w:tcPr>
          <w:p w14:paraId="50E35F1A" w14:textId="6859C519" w:rsidR="002468C5" w:rsidRPr="00753A30" w:rsidRDefault="002468C5" w:rsidP="00753A30">
            <w:pPr>
              <w:spacing w:before="100" w:beforeAutospacing="1" w:after="100" w:afterAutospacing="1"/>
              <w:rPr>
                <w:sz w:val="22"/>
                <w:szCs w:val="22"/>
              </w:rPr>
            </w:pPr>
            <w:r w:rsidRPr="00753A30">
              <w:rPr>
                <w:sz w:val="22"/>
                <w:szCs w:val="22"/>
              </w:rPr>
              <w:t>LM, VAS</w:t>
            </w:r>
          </w:p>
        </w:tc>
        <w:tc>
          <w:tcPr>
            <w:tcW w:w="1701" w:type="dxa"/>
          </w:tcPr>
          <w:p w14:paraId="3DC4510C" w14:textId="56EB377B" w:rsidR="002468C5" w:rsidRPr="00753A30" w:rsidRDefault="002468C5" w:rsidP="00753A30">
            <w:pPr>
              <w:spacing w:before="100" w:beforeAutospacing="1" w:after="100" w:afterAutospacing="1"/>
              <w:rPr>
                <w:sz w:val="22"/>
                <w:szCs w:val="22"/>
              </w:rPr>
            </w:pPr>
            <w:r w:rsidRPr="00753A30">
              <w:rPr>
                <w:sz w:val="22"/>
                <w:szCs w:val="22"/>
              </w:rPr>
              <w:t>2027. gada 4. ceturksnis</w:t>
            </w:r>
          </w:p>
        </w:tc>
      </w:tr>
      <w:tr w:rsidR="00753A30" w:rsidRPr="00753A30" w14:paraId="64FB396C" w14:textId="77777777" w:rsidTr="004A5902">
        <w:tc>
          <w:tcPr>
            <w:tcW w:w="846" w:type="dxa"/>
          </w:tcPr>
          <w:p w14:paraId="4E96537C" w14:textId="6248EF37" w:rsidR="00CD0FDC" w:rsidRPr="00753A30" w:rsidRDefault="0056618F" w:rsidP="00753A30">
            <w:pPr>
              <w:spacing w:before="100" w:beforeAutospacing="1" w:after="100" w:afterAutospacing="1"/>
              <w:rPr>
                <w:sz w:val="22"/>
                <w:szCs w:val="22"/>
              </w:rPr>
            </w:pPr>
            <w:r w:rsidRPr="00753A30">
              <w:rPr>
                <w:sz w:val="22"/>
                <w:szCs w:val="22"/>
              </w:rPr>
              <w:lastRenderedPageBreak/>
              <w:t>12</w:t>
            </w:r>
            <w:r w:rsidR="00CD0FDC" w:rsidRPr="00753A30">
              <w:rPr>
                <w:sz w:val="22"/>
                <w:szCs w:val="22"/>
              </w:rPr>
              <w:t>.</w:t>
            </w:r>
          </w:p>
        </w:tc>
        <w:tc>
          <w:tcPr>
            <w:tcW w:w="2693" w:type="dxa"/>
          </w:tcPr>
          <w:p w14:paraId="780D991B" w14:textId="5E0E537F" w:rsidR="00CD0FDC" w:rsidRPr="00753A30" w:rsidRDefault="00234052" w:rsidP="006917E7">
            <w:pPr>
              <w:spacing w:before="100" w:beforeAutospacing="1" w:after="100" w:afterAutospacing="1"/>
              <w:rPr>
                <w:sz w:val="22"/>
                <w:szCs w:val="22"/>
              </w:rPr>
            </w:pPr>
            <w:r w:rsidRPr="00753A30">
              <w:rPr>
                <w:sz w:val="22"/>
                <w:szCs w:val="22"/>
              </w:rPr>
              <w:t xml:space="preserve">Dzimumu līdztiesības veicināšana </w:t>
            </w:r>
            <w:r w:rsidR="005C1C48" w:rsidRPr="00753A30">
              <w:rPr>
                <w:sz w:val="22"/>
                <w:szCs w:val="22"/>
              </w:rPr>
              <w:t>ārpolitikā</w:t>
            </w:r>
          </w:p>
        </w:tc>
        <w:tc>
          <w:tcPr>
            <w:tcW w:w="2552" w:type="dxa"/>
          </w:tcPr>
          <w:p w14:paraId="3CB79194" w14:textId="20C1F0BC" w:rsidR="00CD0FDC" w:rsidRPr="00753A30" w:rsidRDefault="00D163EC" w:rsidP="006917E7">
            <w:pPr>
              <w:spacing w:before="100" w:beforeAutospacing="1" w:after="100" w:afterAutospacing="1"/>
              <w:jc w:val="both"/>
              <w:rPr>
                <w:sz w:val="22"/>
                <w:szCs w:val="22"/>
              </w:rPr>
            </w:pPr>
            <w:r w:rsidRPr="00753A30">
              <w:rPr>
                <w:sz w:val="22"/>
                <w:szCs w:val="22"/>
              </w:rPr>
              <w:t>Nodrošināt</w:t>
            </w:r>
            <w:r w:rsidR="008442FC" w:rsidRPr="00753A30">
              <w:rPr>
                <w:sz w:val="22"/>
                <w:szCs w:val="22"/>
              </w:rPr>
              <w:t>s</w:t>
            </w:r>
            <w:r w:rsidRPr="00753A30">
              <w:rPr>
                <w:sz w:val="22"/>
                <w:szCs w:val="22"/>
              </w:rPr>
              <w:t xml:space="preserve"> </w:t>
            </w:r>
            <w:r w:rsidR="00820179" w:rsidRPr="00753A30">
              <w:rPr>
                <w:sz w:val="22"/>
                <w:szCs w:val="22"/>
              </w:rPr>
              <w:t xml:space="preserve">Latvijas </w:t>
            </w:r>
            <w:r w:rsidR="008442FC" w:rsidRPr="00753A30">
              <w:rPr>
                <w:sz w:val="22"/>
                <w:szCs w:val="22"/>
              </w:rPr>
              <w:t xml:space="preserve">ieguldījums </w:t>
            </w:r>
            <w:r w:rsidR="00BA5529" w:rsidRPr="00753A30">
              <w:rPr>
                <w:sz w:val="22"/>
                <w:szCs w:val="22"/>
              </w:rPr>
              <w:t xml:space="preserve">un ekspertīze </w:t>
            </w:r>
            <w:r w:rsidR="00665208" w:rsidRPr="00753A30">
              <w:rPr>
                <w:sz w:val="22"/>
                <w:szCs w:val="22"/>
              </w:rPr>
              <w:t xml:space="preserve">dzimumu līdztiesības veicināšanā </w:t>
            </w:r>
            <w:r w:rsidR="00996BD7" w:rsidRPr="00753A30">
              <w:rPr>
                <w:sz w:val="22"/>
                <w:szCs w:val="22"/>
              </w:rPr>
              <w:t>dažādos lēmumu pieņemšanas procesos ANO</w:t>
            </w:r>
          </w:p>
        </w:tc>
        <w:tc>
          <w:tcPr>
            <w:tcW w:w="2409" w:type="dxa"/>
          </w:tcPr>
          <w:p w14:paraId="69589C7A" w14:textId="67A9CDC1" w:rsidR="006A04B8" w:rsidRPr="00753A30" w:rsidRDefault="006A04B8" w:rsidP="006917E7">
            <w:pPr>
              <w:spacing w:before="100" w:beforeAutospacing="1" w:after="100" w:afterAutospacing="1"/>
              <w:jc w:val="both"/>
              <w:rPr>
                <w:b/>
                <w:bCs/>
                <w:sz w:val="22"/>
                <w:szCs w:val="22"/>
              </w:rPr>
            </w:pPr>
            <w:r w:rsidRPr="00753A30">
              <w:rPr>
                <w:b/>
                <w:bCs/>
                <w:sz w:val="22"/>
                <w:szCs w:val="22"/>
              </w:rPr>
              <w:t>Organizēti pasākumi ANO Sieviešu statusa komisijas ietvaros</w:t>
            </w:r>
          </w:p>
        </w:tc>
        <w:tc>
          <w:tcPr>
            <w:tcW w:w="1418" w:type="dxa"/>
          </w:tcPr>
          <w:p w14:paraId="0777D9A1" w14:textId="1B1B82D4" w:rsidR="00CD0FDC" w:rsidRPr="00753A30" w:rsidRDefault="005C1C48" w:rsidP="00753A30">
            <w:pPr>
              <w:spacing w:before="100" w:beforeAutospacing="1" w:after="100" w:afterAutospacing="1"/>
              <w:rPr>
                <w:sz w:val="22"/>
                <w:szCs w:val="22"/>
              </w:rPr>
            </w:pPr>
            <w:r w:rsidRPr="00753A30">
              <w:rPr>
                <w:sz w:val="22"/>
                <w:szCs w:val="22"/>
              </w:rPr>
              <w:t>ĀM/LM</w:t>
            </w:r>
          </w:p>
        </w:tc>
        <w:tc>
          <w:tcPr>
            <w:tcW w:w="1843" w:type="dxa"/>
          </w:tcPr>
          <w:p w14:paraId="1BE498C8" w14:textId="427FEC9D" w:rsidR="00CD0FDC" w:rsidRPr="00753A30" w:rsidRDefault="005C1C48" w:rsidP="00753A30">
            <w:pPr>
              <w:spacing w:before="100" w:beforeAutospacing="1" w:after="100" w:afterAutospacing="1"/>
              <w:rPr>
                <w:sz w:val="22"/>
                <w:szCs w:val="22"/>
              </w:rPr>
            </w:pPr>
            <w:r w:rsidRPr="00753A30">
              <w:rPr>
                <w:sz w:val="22"/>
                <w:szCs w:val="22"/>
              </w:rPr>
              <w:t>Nozaru ministrijas</w:t>
            </w:r>
          </w:p>
        </w:tc>
        <w:tc>
          <w:tcPr>
            <w:tcW w:w="1701" w:type="dxa"/>
          </w:tcPr>
          <w:p w14:paraId="2BC5F957" w14:textId="6EC09AE7" w:rsidR="00CD0FDC" w:rsidRPr="00753A30" w:rsidRDefault="005C1C48" w:rsidP="00753A30">
            <w:pPr>
              <w:spacing w:before="100" w:beforeAutospacing="1" w:after="100" w:afterAutospacing="1"/>
              <w:rPr>
                <w:sz w:val="22"/>
                <w:szCs w:val="22"/>
              </w:rPr>
            </w:pPr>
            <w:r w:rsidRPr="00753A30">
              <w:rPr>
                <w:sz w:val="22"/>
                <w:szCs w:val="22"/>
              </w:rPr>
              <w:t>202</w:t>
            </w:r>
            <w:r w:rsidR="00C15996" w:rsidRPr="00753A30">
              <w:rPr>
                <w:sz w:val="22"/>
                <w:szCs w:val="22"/>
              </w:rPr>
              <w:t>7</w:t>
            </w:r>
            <w:r w:rsidRPr="00753A30">
              <w:rPr>
                <w:sz w:val="22"/>
                <w:szCs w:val="22"/>
              </w:rPr>
              <w:t xml:space="preserve">. </w:t>
            </w:r>
            <w:r w:rsidR="00C15996" w:rsidRPr="00753A30">
              <w:rPr>
                <w:sz w:val="22"/>
                <w:szCs w:val="22"/>
              </w:rPr>
              <w:t xml:space="preserve">gada </w:t>
            </w:r>
            <w:r w:rsidRPr="00753A30">
              <w:rPr>
                <w:sz w:val="22"/>
                <w:szCs w:val="22"/>
              </w:rPr>
              <w:t>4.ceturksnis</w:t>
            </w:r>
          </w:p>
        </w:tc>
      </w:tr>
      <w:tr w:rsidR="00753A30" w:rsidRPr="00753A30" w14:paraId="25527AB8" w14:textId="77777777" w:rsidTr="004A5902">
        <w:tc>
          <w:tcPr>
            <w:tcW w:w="846" w:type="dxa"/>
          </w:tcPr>
          <w:p w14:paraId="41EA34A3" w14:textId="77777777" w:rsidR="00BA5529" w:rsidRPr="00753A30" w:rsidRDefault="00BA5529" w:rsidP="00753A30">
            <w:pPr>
              <w:spacing w:before="100" w:beforeAutospacing="1" w:after="100" w:afterAutospacing="1"/>
              <w:rPr>
                <w:sz w:val="22"/>
                <w:szCs w:val="22"/>
              </w:rPr>
            </w:pPr>
          </w:p>
        </w:tc>
        <w:tc>
          <w:tcPr>
            <w:tcW w:w="2693" w:type="dxa"/>
          </w:tcPr>
          <w:p w14:paraId="50F231CC" w14:textId="77777777" w:rsidR="00BA5529" w:rsidRPr="00753A30" w:rsidRDefault="00BA5529" w:rsidP="00753A30">
            <w:pPr>
              <w:spacing w:before="100" w:beforeAutospacing="1" w:after="100" w:afterAutospacing="1"/>
              <w:rPr>
                <w:sz w:val="22"/>
                <w:szCs w:val="22"/>
              </w:rPr>
            </w:pPr>
          </w:p>
        </w:tc>
        <w:tc>
          <w:tcPr>
            <w:tcW w:w="2552" w:type="dxa"/>
          </w:tcPr>
          <w:p w14:paraId="766D3E1E" w14:textId="77777777" w:rsidR="00BA5529" w:rsidRPr="00753A30" w:rsidRDefault="00BA5529" w:rsidP="00753A30">
            <w:pPr>
              <w:spacing w:before="100" w:beforeAutospacing="1" w:after="100" w:afterAutospacing="1"/>
              <w:rPr>
                <w:sz w:val="22"/>
                <w:szCs w:val="22"/>
              </w:rPr>
            </w:pPr>
          </w:p>
        </w:tc>
        <w:tc>
          <w:tcPr>
            <w:tcW w:w="2409" w:type="dxa"/>
          </w:tcPr>
          <w:p w14:paraId="57F4EB06" w14:textId="1781F886" w:rsidR="00BA5529" w:rsidRPr="00753A30" w:rsidRDefault="00184A83" w:rsidP="006917E7">
            <w:pPr>
              <w:spacing w:before="100" w:beforeAutospacing="1" w:after="100" w:afterAutospacing="1"/>
              <w:jc w:val="both"/>
              <w:rPr>
                <w:b/>
                <w:bCs/>
                <w:sz w:val="22"/>
                <w:szCs w:val="22"/>
              </w:rPr>
            </w:pPr>
            <w:r w:rsidRPr="00E029DE">
              <w:rPr>
                <w:b/>
                <w:bCs/>
                <w:sz w:val="22"/>
                <w:szCs w:val="22"/>
              </w:rPr>
              <w:t>Nodrošināta Latvijas pārstāvniecība</w:t>
            </w:r>
            <w:r w:rsidRPr="00753A30">
              <w:rPr>
                <w:sz w:val="22"/>
                <w:szCs w:val="22"/>
              </w:rPr>
              <w:t xml:space="preserve"> ANO Dzimumu līdztiesības un sieviešu iespēju veicināšanas organizācijas valdē līdz 2025. gada beigām</w:t>
            </w:r>
          </w:p>
        </w:tc>
        <w:tc>
          <w:tcPr>
            <w:tcW w:w="1418" w:type="dxa"/>
          </w:tcPr>
          <w:p w14:paraId="69E93532" w14:textId="25C21332" w:rsidR="00BA5529" w:rsidRPr="00753A30" w:rsidRDefault="00184A83" w:rsidP="00753A30">
            <w:pPr>
              <w:spacing w:before="100" w:beforeAutospacing="1" w:after="100" w:afterAutospacing="1"/>
              <w:rPr>
                <w:sz w:val="22"/>
                <w:szCs w:val="22"/>
              </w:rPr>
            </w:pPr>
            <w:r w:rsidRPr="00753A30">
              <w:rPr>
                <w:sz w:val="22"/>
                <w:szCs w:val="22"/>
              </w:rPr>
              <w:t>ĀM</w:t>
            </w:r>
          </w:p>
        </w:tc>
        <w:tc>
          <w:tcPr>
            <w:tcW w:w="1843" w:type="dxa"/>
          </w:tcPr>
          <w:p w14:paraId="32AAAE35" w14:textId="05EB556D" w:rsidR="00BA5529" w:rsidRPr="00753A30" w:rsidRDefault="0073626B" w:rsidP="00753A30">
            <w:pPr>
              <w:spacing w:before="100" w:beforeAutospacing="1" w:after="100" w:afterAutospacing="1"/>
              <w:rPr>
                <w:sz w:val="22"/>
                <w:szCs w:val="22"/>
              </w:rPr>
            </w:pPr>
            <w:r w:rsidRPr="00753A30">
              <w:rPr>
                <w:sz w:val="22"/>
                <w:szCs w:val="22"/>
              </w:rPr>
              <w:t>LM</w:t>
            </w:r>
          </w:p>
        </w:tc>
        <w:tc>
          <w:tcPr>
            <w:tcW w:w="1701" w:type="dxa"/>
          </w:tcPr>
          <w:p w14:paraId="18BDE366" w14:textId="77777777" w:rsidR="00184A83" w:rsidRPr="00753A30" w:rsidRDefault="00184A83" w:rsidP="00753A30">
            <w:pPr>
              <w:spacing w:before="100" w:beforeAutospacing="1" w:after="100" w:afterAutospacing="1"/>
              <w:rPr>
                <w:sz w:val="22"/>
                <w:szCs w:val="22"/>
              </w:rPr>
            </w:pPr>
            <w:r w:rsidRPr="00753A30">
              <w:rPr>
                <w:sz w:val="22"/>
                <w:szCs w:val="22"/>
              </w:rPr>
              <w:t xml:space="preserve">2025.gada 4.ceturksnis </w:t>
            </w:r>
          </w:p>
          <w:p w14:paraId="58EA086F" w14:textId="77777777" w:rsidR="00BA5529" w:rsidRPr="00753A30" w:rsidRDefault="00BA5529" w:rsidP="00753A30">
            <w:pPr>
              <w:spacing w:before="100" w:beforeAutospacing="1" w:after="100" w:afterAutospacing="1"/>
              <w:rPr>
                <w:sz w:val="22"/>
                <w:szCs w:val="22"/>
              </w:rPr>
            </w:pPr>
          </w:p>
        </w:tc>
      </w:tr>
      <w:tr w:rsidR="00753A30" w:rsidRPr="00753A30" w14:paraId="53FBEF47" w14:textId="77777777" w:rsidTr="004A5902">
        <w:tc>
          <w:tcPr>
            <w:tcW w:w="846" w:type="dxa"/>
          </w:tcPr>
          <w:p w14:paraId="7AB6306F" w14:textId="77777777" w:rsidR="00BA5529" w:rsidRPr="00753A30" w:rsidRDefault="00BA5529" w:rsidP="00753A30">
            <w:pPr>
              <w:spacing w:before="100" w:beforeAutospacing="1" w:after="100" w:afterAutospacing="1"/>
              <w:rPr>
                <w:sz w:val="22"/>
                <w:szCs w:val="22"/>
              </w:rPr>
            </w:pPr>
          </w:p>
        </w:tc>
        <w:tc>
          <w:tcPr>
            <w:tcW w:w="2693" w:type="dxa"/>
          </w:tcPr>
          <w:p w14:paraId="3A6D057D" w14:textId="77777777" w:rsidR="00BA5529" w:rsidRPr="00753A30" w:rsidRDefault="00BA5529" w:rsidP="00753A30">
            <w:pPr>
              <w:spacing w:before="100" w:beforeAutospacing="1" w:after="100" w:afterAutospacing="1"/>
              <w:rPr>
                <w:sz w:val="22"/>
                <w:szCs w:val="22"/>
              </w:rPr>
            </w:pPr>
          </w:p>
        </w:tc>
        <w:tc>
          <w:tcPr>
            <w:tcW w:w="2552" w:type="dxa"/>
          </w:tcPr>
          <w:p w14:paraId="03786D4C" w14:textId="77777777" w:rsidR="00BA5529" w:rsidRPr="00753A30" w:rsidRDefault="00BA5529" w:rsidP="00753A30">
            <w:pPr>
              <w:spacing w:before="100" w:beforeAutospacing="1" w:after="100" w:afterAutospacing="1"/>
              <w:rPr>
                <w:sz w:val="22"/>
                <w:szCs w:val="22"/>
              </w:rPr>
            </w:pPr>
          </w:p>
        </w:tc>
        <w:tc>
          <w:tcPr>
            <w:tcW w:w="2409" w:type="dxa"/>
          </w:tcPr>
          <w:p w14:paraId="3E05AAC4" w14:textId="4995FC66" w:rsidR="00BA5529" w:rsidRPr="00753A30" w:rsidRDefault="00184A83" w:rsidP="006917E7">
            <w:pPr>
              <w:spacing w:before="100" w:beforeAutospacing="1" w:after="100" w:afterAutospacing="1"/>
              <w:jc w:val="both"/>
              <w:rPr>
                <w:sz w:val="22"/>
                <w:szCs w:val="22"/>
              </w:rPr>
            </w:pPr>
            <w:r w:rsidRPr="00E029DE">
              <w:rPr>
                <w:b/>
                <w:bCs/>
                <w:sz w:val="22"/>
                <w:szCs w:val="22"/>
              </w:rPr>
              <w:t>Nodrošināta Latvijas dalība</w:t>
            </w:r>
            <w:r w:rsidRPr="00753A30">
              <w:rPr>
                <w:sz w:val="22"/>
                <w:szCs w:val="22"/>
              </w:rPr>
              <w:t xml:space="preserve"> līdzīgi domājošo valstu ANO draugu grupā “Par sievietēm, mieru un drošību”</w:t>
            </w:r>
          </w:p>
        </w:tc>
        <w:tc>
          <w:tcPr>
            <w:tcW w:w="1418" w:type="dxa"/>
          </w:tcPr>
          <w:p w14:paraId="62F28FA4" w14:textId="34262C66" w:rsidR="00184A83" w:rsidRPr="00753A30" w:rsidRDefault="00184A83" w:rsidP="00753A30">
            <w:pPr>
              <w:spacing w:before="100" w:beforeAutospacing="1" w:after="100" w:afterAutospacing="1"/>
              <w:rPr>
                <w:sz w:val="22"/>
                <w:szCs w:val="22"/>
              </w:rPr>
            </w:pPr>
            <w:r w:rsidRPr="00753A30">
              <w:rPr>
                <w:sz w:val="22"/>
                <w:szCs w:val="22"/>
              </w:rPr>
              <w:t>ĀM</w:t>
            </w:r>
            <w:r w:rsidR="00FD33D0" w:rsidRPr="00753A30">
              <w:rPr>
                <w:sz w:val="22"/>
                <w:szCs w:val="22"/>
              </w:rPr>
              <w:t xml:space="preserve"> </w:t>
            </w:r>
          </w:p>
          <w:p w14:paraId="7A74F6D8" w14:textId="77777777" w:rsidR="00BA5529" w:rsidRPr="00753A30" w:rsidRDefault="00BA5529" w:rsidP="00753A30">
            <w:pPr>
              <w:spacing w:before="100" w:beforeAutospacing="1" w:after="100" w:afterAutospacing="1"/>
              <w:rPr>
                <w:sz w:val="22"/>
                <w:szCs w:val="22"/>
              </w:rPr>
            </w:pPr>
          </w:p>
        </w:tc>
        <w:tc>
          <w:tcPr>
            <w:tcW w:w="1843" w:type="dxa"/>
          </w:tcPr>
          <w:p w14:paraId="742EADE8" w14:textId="0072754E" w:rsidR="00BA5529" w:rsidRPr="00753A30" w:rsidRDefault="00FD33D0" w:rsidP="00753A30">
            <w:pPr>
              <w:spacing w:before="100" w:beforeAutospacing="1" w:after="100" w:afterAutospacing="1"/>
              <w:rPr>
                <w:sz w:val="22"/>
                <w:szCs w:val="22"/>
              </w:rPr>
            </w:pPr>
            <w:r w:rsidRPr="00753A30">
              <w:rPr>
                <w:sz w:val="22"/>
                <w:szCs w:val="22"/>
              </w:rPr>
              <w:t>LM, IZM, AiM, IeM</w:t>
            </w:r>
          </w:p>
        </w:tc>
        <w:tc>
          <w:tcPr>
            <w:tcW w:w="1701" w:type="dxa"/>
          </w:tcPr>
          <w:p w14:paraId="1B5B9885" w14:textId="77777777" w:rsidR="00184A83" w:rsidRPr="00753A30" w:rsidRDefault="00184A83" w:rsidP="00753A30">
            <w:pPr>
              <w:spacing w:before="100" w:beforeAutospacing="1" w:after="100" w:afterAutospacing="1"/>
              <w:rPr>
                <w:sz w:val="22"/>
                <w:szCs w:val="22"/>
              </w:rPr>
            </w:pPr>
            <w:r w:rsidRPr="00753A30">
              <w:rPr>
                <w:sz w:val="22"/>
                <w:szCs w:val="22"/>
              </w:rPr>
              <w:t xml:space="preserve">2027.gada 4.ceturksnis </w:t>
            </w:r>
          </w:p>
          <w:p w14:paraId="3DD29DC9" w14:textId="77777777" w:rsidR="00BA5529" w:rsidRPr="00753A30" w:rsidRDefault="00BA5529" w:rsidP="00753A30">
            <w:pPr>
              <w:spacing w:before="100" w:beforeAutospacing="1" w:after="100" w:afterAutospacing="1"/>
              <w:rPr>
                <w:sz w:val="22"/>
                <w:szCs w:val="22"/>
              </w:rPr>
            </w:pPr>
          </w:p>
        </w:tc>
      </w:tr>
      <w:tr w:rsidR="00753A30" w:rsidRPr="00753A30" w14:paraId="2267F4A2" w14:textId="77777777" w:rsidTr="004A5902">
        <w:tc>
          <w:tcPr>
            <w:tcW w:w="846" w:type="dxa"/>
          </w:tcPr>
          <w:p w14:paraId="7933640E" w14:textId="77777777" w:rsidR="00BA5529" w:rsidRPr="00753A30" w:rsidRDefault="00BA5529" w:rsidP="00753A30">
            <w:pPr>
              <w:spacing w:before="100" w:beforeAutospacing="1" w:after="100" w:afterAutospacing="1"/>
              <w:rPr>
                <w:sz w:val="22"/>
                <w:szCs w:val="22"/>
              </w:rPr>
            </w:pPr>
          </w:p>
        </w:tc>
        <w:tc>
          <w:tcPr>
            <w:tcW w:w="2693" w:type="dxa"/>
          </w:tcPr>
          <w:p w14:paraId="43927827" w14:textId="77777777" w:rsidR="00BA5529" w:rsidRPr="00753A30" w:rsidRDefault="00BA5529" w:rsidP="00753A30">
            <w:pPr>
              <w:spacing w:before="100" w:beforeAutospacing="1" w:after="100" w:afterAutospacing="1"/>
              <w:rPr>
                <w:sz w:val="22"/>
                <w:szCs w:val="22"/>
              </w:rPr>
            </w:pPr>
          </w:p>
        </w:tc>
        <w:tc>
          <w:tcPr>
            <w:tcW w:w="2552" w:type="dxa"/>
          </w:tcPr>
          <w:p w14:paraId="65184ECD" w14:textId="77777777" w:rsidR="00BA5529" w:rsidRPr="00753A30" w:rsidRDefault="00BA5529" w:rsidP="00753A30">
            <w:pPr>
              <w:spacing w:before="100" w:beforeAutospacing="1" w:after="100" w:afterAutospacing="1"/>
              <w:rPr>
                <w:sz w:val="22"/>
                <w:szCs w:val="22"/>
              </w:rPr>
            </w:pPr>
          </w:p>
        </w:tc>
        <w:tc>
          <w:tcPr>
            <w:tcW w:w="2409" w:type="dxa"/>
          </w:tcPr>
          <w:p w14:paraId="7093F81E" w14:textId="1A8BB49A" w:rsidR="00BA5529" w:rsidRPr="00753A30" w:rsidRDefault="00184A83" w:rsidP="00A45CCE">
            <w:pPr>
              <w:spacing w:before="100" w:beforeAutospacing="1" w:after="100" w:afterAutospacing="1"/>
              <w:jc w:val="both"/>
              <w:rPr>
                <w:sz w:val="22"/>
                <w:szCs w:val="22"/>
              </w:rPr>
            </w:pPr>
            <w:r w:rsidRPr="00E029DE">
              <w:rPr>
                <w:b/>
                <w:bCs/>
                <w:sz w:val="22"/>
                <w:szCs w:val="22"/>
              </w:rPr>
              <w:t>Nodrošināta Latvijas dalība ikgadējās ANO debatēs</w:t>
            </w:r>
            <w:r w:rsidRPr="00753A30">
              <w:rPr>
                <w:sz w:val="22"/>
                <w:szCs w:val="22"/>
              </w:rPr>
              <w:t xml:space="preserve"> “Par sievietēm, mieru un drošību” un citos formātos, kā arī iespēju robežās organizēti tematiski pasākumi ar nacionāliem un </w:t>
            </w:r>
            <w:r w:rsidRPr="00753A30">
              <w:rPr>
                <w:sz w:val="22"/>
                <w:szCs w:val="22"/>
              </w:rPr>
              <w:lastRenderedPageBreak/>
              <w:t>starptautisk</w:t>
            </w:r>
            <w:r w:rsidR="00A45CCE">
              <w:rPr>
                <w:sz w:val="22"/>
                <w:szCs w:val="22"/>
              </w:rPr>
              <w:t xml:space="preserve">ajiem </w:t>
            </w:r>
            <w:r w:rsidRPr="00753A30">
              <w:rPr>
                <w:sz w:val="22"/>
                <w:szCs w:val="22"/>
              </w:rPr>
              <w:t>partneriem</w:t>
            </w:r>
          </w:p>
        </w:tc>
        <w:tc>
          <w:tcPr>
            <w:tcW w:w="1418" w:type="dxa"/>
          </w:tcPr>
          <w:p w14:paraId="77A29B72" w14:textId="3B6C69CD" w:rsidR="00BA5529" w:rsidRPr="00753A30" w:rsidRDefault="00184A83" w:rsidP="00753A30">
            <w:pPr>
              <w:spacing w:before="100" w:beforeAutospacing="1" w:after="100" w:afterAutospacing="1"/>
              <w:rPr>
                <w:sz w:val="22"/>
                <w:szCs w:val="22"/>
              </w:rPr>
            </w:pPr>
            <w:r w:rsidRPr="00753A30">
              <w:rPr>
                <w:sz w:val="22"/>
                <w:szCs w:val="22"/>
              </w:rPr>
              <w:lastRenderedPageBreak/>
              <w:t>ĀM</w:t>
            </w:r>
          </w:p>
        </w:tc>
        <w:tc>
          <w:tcPr>
            <w:tcW w:w="1843" w:type="dxa"/>
          </w:tcPr>
          <w:p w14:paraId="34324AB1" w14:textId="4320503C" w:rsidR="00BA5529" w:rsidRPr="00753A30" w:rsidRDefault="00184A83" w:rsidP="00753A30">
            <w:pPr>
              <w:spacing w:before="100" w:beforeAutospacing="1" w:after="100" w:afterAutospacing="1"/>
              <w:rPr>
                <w:sz w:val="22"/>
                <w:szCs w:val="22"/>
              </w:rPr>
            </w:pPr>
            <w:r w:rsidRPr="00753A30">
              <w:rPr>
                <w:sz w:val="22"/>
                <w:szCs w:val="22"/>
              </w:rPr>
              <w:t>LM, IeM, AiM, IZM</w:t>
            </w:r>
          </w:p>
        </w:tc>
        <w:tc>
          <w:tcPr>
            <w:tcW w:w="1701" w:type="dxa"/>
          </w:tcPr>
          <w:p w14:paraId="26AF2CD2" w14:textId="77777777" w:rsidR="00184A83" w:rsidRPr="00753A30" w:rsidRDefault="00184A83" w:rsidP="00753A30">
            <w:pPr>
              <w:spacing w:before="100" w:beforeAutospacing="1" w:after="100" w:afterAutospacing="1"/>
              <w:rPr>
                <w:sz w:val="22"/>
                <w:szCs w:val="22"/>
              </w:rPr>
            </w:pPr>
            <w:r w:rsidRPr="00753A30">
              <w:rPr>
                <w:sz w:val="22"/>
                <w:szCs w:val="22"/>
              </w:rPr>
              <w:t xml:space="preserve">2027.gada 4.ceturksnis </w:t>
            </w:r>
          </w:p>
          <w:p w14:paraId="08683FE5" w14:textId="77777777" w:rsidR="00BA5529" w:rsidRPr="00753A30" w:rsidRDefault="00BA5529" w:rsidP="00753A30">
            <w:pPr>
              <w:spacing w:before="100" w:beforeAutospacing="1" w:after="100" w:afterAutospacing="1"/>
              <w:rPr>
                <w:sz w:val="22"/>
                <w:szCs w:val="22"/>
              </w:rPr>
            </w:pPr>
          </w:p>
        </w:tc>
      </w:tr>
      <w:tr w:rsidR="00FE2FE7" w:rsidRPr="00BF5500" w14:paraId="5CE717BB" w14:textId="77777777" w:rsidTr="004A5902">
        <w:tc>
          <w:tcPr>
            <w:tcW w:w="846" w:type="dxa"/>
          </w:tcPr>
          <w:p w14:paraId="742434DF" w14:textId="77D9C1D8" w:rsidR="00BF5500" w:rsidRPr="00BF5500" w:rsidRDefault="0056618F" w:rsidP="00BF5500">
            <w:pPr>
              <w:spacing w:before="100" w:beforeAutospacing="1" w:after="100" w:afterAutospacing="1"/>
              <w:rPr>
                <w:color w:val="FF0000"/>
                <w:sz w:val="22"/>
                <w:szCs w:val="22"/>
              </w:rPr>
            </w:pPr>
            <w:r>
              <w:rPr>
                <w:sz w:val="22"/>
                <w:szCs w:val="22"/>
              </w:rPr>
              <w:lastRenderedPageBreak/>
              <w:t>13</w:t>
            </w:r>
            <w:r w:rsidR="00BF5500" w:rsidRPr="00BF5500">
              <w:rPr>
                <w:sz w:val="22"/>
                <w:szCs w:val="22"/>
              </w:rPr>
              <w:t xml:space="preserve">. </w:t>
            </w:r>
          </w:p>
        </w:tc>
        <w:tc>
          <w:tcPr>
            <w:tcW w:w="2693" w:type="dxa"/>
          </w:tcPr>
          <w:p w14:paraId="2C0D4134" w14:textId="77EE69AF" w:rsidR="00BF5500" w:rsidRPr="00BF5500" w:rsidRDefault="00BF5500" w:rsidP="00BF5500">
            <w:pPr>
              <w:spacing w:before="100" w:beforeAutospacing="1" w:after="100" w:afterAutospacing="1"/>
              <w:rPr>
                <w:sz w:val="22"/>
                <w:szCs w:val="22"/>
              </w:rPr>
            </w:pPr>
            <w:r w:rsidRPr="00BF5500">
              <w:rPr>
                <w:sz w:val="22"/>
                <w:szCs w:val="22"/>
              </w:rPr>
              <w:t>Dzimumu līdztiesības politikas monitorings</w:t>
            </w:r>
          </w:p>
        </w:tc>
        <w:tc>
          <w:tcPr>
            <w:tcW w:w="2552" w:type="dxa"/>
          </w:tcPr>
          <w:p w14:paraId="138B3AD7" w14:textId="10596646" w:rsidR="00BF5500" w:rsidRPr="00BF5500" w:rsidRDefault="00C21C12" w:rsidP="00A45CCE">
            <w:pPr>
              <w:spacing w:before="100" w:beforeAutospacing="1" w:after="100" w:afterAutospacing="1"/>
              <w:jc w:val="both"/>
              <w:rPr>
                <w:sz w:val="22"/>
                <w:szCs w:val="22"/>
              </w:rPr>
            </w:pPr>
            <w:r>
              <w:rPr>
                <w:sz w:val="22"/>
                <w:szCs w:val="22"/>
              </w:rPr>
              <w:t xml:space="preserve">13.1. </w:t>
            </w:r>
            <w:r w:rsidR="00BF5500" w:rsidRPr="00BF5500">
              <w:rPr>
                <w:sz w:val="22"/>
                <w:szCs w:val="22"/>
              </w:rPr>
              <w:t>Veikta sieviešu un vīriešu rīcības modeļu/uzvedības/ apzināšana darba un privātās dzīves saskaņošanai</w:t>
            </w:r>
          </w:p>
        </w:tc>
        <w:tc>
          <w:tcPr>
            <w:tcW w:w="2409" w:type="dxa"/>
          </w:tcPr>
          <w:p w14:paraId="5F5D0080" w14:textId="7C9C2559" w:rsidR="00BF5500" w:rsidRPr="00BF5500" w:rsidRDefault="00BF5500" w:rsidP="00074A2D">
            <w:pPr>
              <w:spacing w:before="100" w:beforeAutospacing="1" w:after="100" w:afterAutospacing="1"/>
              <w:jc w:val="both"/>
              <w:rPr>
                <w:sz w:val="22"/>
                <w:szCs w:val="22"/>
              </w:rPr>
            </w:pPr>
            <w:r w:rsidRPr="00BF5500">
              <w:rPr>
                <w:sz w:val="22"/>
                <w:szCs w:val="22"/>
              </w:rPr>
              <w:t xml:space="preserve">2025.gada darbaspēka apsekojumā </w:t>
            </w:r>
            <w:r w:rsidRPr="00BF5500">
              <w:rPr>
                <w:b/>
                <w:bCs/>
                <w:sz w:val="22"/>
                <w:szCs w:val="22"/>
              </w:rPr>
              <w:t>iekļauta darba un privātās dzīves saskaņošanas situācijas apzināšana</w:t>
            </w:r>
            <w:r w:rsidRPr="00BF5500">
              <w:rPr>
                <w:sz w:val="22"/>
                <w:szCs w:val="22"/>
              </w:rPr>
              <w:t xml:space="preserve"> </w:t>
            </w:r>
          </w:p>
        </w:tc>
        <w:tc>
          <w:tcPr>
            <w:tcW w:w="1418" w:type="dxa"/>
          </w:tcPr>
          <w:p w14:paraId="0DE929C3" w14:textId="77777777" w:rsidR="00BF5500" w:rsidRPr="00BF5500" w:rsidRDefault="00BF5500" w:rsidP="00BF5500">
            <w:pPr>
              <w:spacing w:before="100" w:beforeAutospacing="1" w:after="100" w:afterAutospacing="1"/>
              <w:rPr>
                <w:sz w:val="22"/>
                <w:szCs w:val="22"/>
              </w:rPr>
            </w:pPr>
            <w:r w:rsidRPr="00BF5500">
              <w:rPr>
                <w:sz w:val="22"/>
                <w:szCs w:val="22"/>
              </w:rPr>
              <w:t>CSP</w:t>
            </w:r>
          </w:p>
        </w:tc>
        <w:tc>
          <w:tcPr>
            <w:tcW w:w="1843" w:type="dxa"/>
          </w:tcPr>
          <w:p w14:paraId="44F3C999" w14:textId="5BFB923D" w:rsidR="00BF5500" w:rsidRPr="00BF5500" w:rsidRDefault="00BF5500" w:rsidP="00BF5500">
            <w:pPr>
              <w:spacing w:before="100" w:beforeAutospacing="1" w:after="100" w:afterAutospacing="1"/>
              <w:rPr>
                <w:sz w:val="22"/>
                <w:szCs w:val="22"/>
              </w:rPr>
            </w:pPr>
          </w:p>
        </w:tc>
        <w:tc>
          <w:tcPr>
            <w:tcW w:w="1701" w:type="dxa"/>
          </w:tcPr>
          <w:p w14:paraId="5789CF6B" w14:textId="77777777" w:rsidR="00BF5500" w:rsidRPr="00BF5500" w:rsidRDefault="00BF5500" w:rsidP="00BF5500">
            <w:pPr>
              <w:spacing w:before="100" w:beforeAutospacing="1" w:after="100" w:afterAutospacing="1"/>
              <w:rPr>
                <w:sz w:val="22"/>
                <w:szCs w:val="22"/>
              </w:rPr>
            </w:pPr>
            <w:r w:rsidRPr="00BF5500">
              <w:rPr>
                <w:sz w:val="22"/>
                <w:szCs w:val="22"/>
              </w:rPr>
              <w:t>2027.gada 4.ceturksnis</w:t>
            </w:r>
          </w:p>
        </w:tc>
      </w:tr>
      <w:tr w:rsidR="00FE2FE7" w:rsidRPr="00BF5500" w14:paraId="045BD8D6" w14:textId="77777777" w:rsidTr="004A5902">
        <w:tc>
          <w:tcPr>
            <w:tcW w:w="846" w:type="dxa"/>
          </w:tcPr>
          <w:p w14:paraId="2886554D" w14:textId="77777777" w:rsidR="00BF5500" w:rsidRPr="00BF5500" w:rsidRDefault="00BF5500" w:rsidP="00BF5500">
            <w:pPr>
              <w:spacing w:before="100" w:beforeAutospacing="1" w:after="100" w:afterAutospacing="1"/>
              <w:rPr>
                <w:color w:val="FF0000"/>
                <w:sz w:val="22"/>
                <w:szCs w:val="22"/>
              </w:rPr>
            </w:pPr>
          </w:p>
        </w:tc>
        <w:tc>
          <w:tcPr>
            <w:tcW w:w="2693" w:type="dxa"/>
          </w:tcPr>
          <w:p w14:paraId="448321D2" w14:textId="77777777" w:rsidR="00BF5500" w:rsidRPr="00BF5500" w:rsidRDefault="00BF5500" w:rsidP="00BF5500">
            <w:pPr>
              <w:spacing w:before="100" w:beforeAutospacing="1" w:after="100" w:afterAutospacing="1"/>
              <w:rPr>
                <w:color w:val="FF0000"/>
                <w:sz w:val="22"/>
                <w:szCs w:val="22"/>
              </w:rPr>
            </w:pPr>
          </w:p>
        </w:tc>
        <w:tc>
          <w:tcPr>
            <w:tcW w:w="2552" w:type="dxa"/>
          </w:tcPr>
          <w:p w14:paraId="75B54DA0" w14:textId="50B53D1B" w:rsidR="00BF5500" w:rsidRPr="00BF5500" w:rsidRDefault="00C21C12" w:rsidP="00074A2D">
            <w:pPr>
              <w:spacing w:before="100" w:beforeAutospacing="1" w:after="100" w:afterAutospacing="1"/>
              <w:jc w:val="both"/>
              <w:rPr>
                <w:sz w:val="22"/>
                <w:szCs w:val="22"/>
              </w:rPr>
            </w:pPr>
            <w:r>
              <w:rPr>
                <w:sz w:val="22"/>
                <w:szCs w:val="22"/>
              </w:rPr>
              <w:t xml:space="preserve">13.2. </w:t>
            </w:r>
            <w:r w:rsidR="00BF5500" w:rsidRPr="00BF5500">
              <w:rPr>
                <w:sz w:val="22"/>
                <w:szCs w:val="22"/>
              </w:rPr>
              <w:t>Balstoties uz statistikas datiem veicināta sabiedrības izpratne par dzimumu līdztiesības aspektiem dažādās dzīves jomās</w:t>
            </w:r>
          </w:p>
        </w:tc>
        <w:tc>
          <w:tcPr>
            <w:tcW w:w="2409" w:type="dxa"/>
          </w:tcPr>
          <w:p w14:paraId="476FF93F" w14:textId="4C6D4455" w:rsidR="00BF5500" w:rsidRPr="00BF5500" w:rsidRDefault="00BF5500" w:rsidP="00074A2D">
            <w:pPr>
              <w:spacing w:before="100" w:beforeAutospacing="1" w:after="100" w:afterAutospacing="1"/>
              <w:jc w:val="both"/>
              <w:rPr>
                <w:sz w:val="22"/>
                <w:szCs w:val="22"/>
              </w:rPr>
            </w:pPr>
            <w:r w:rsidRPr="00BF5500">
              <w:rPr>
                <w:sz w:val="22"/>
                <w:szCs w:val="22"/>
              </w:rPr>
              <w:t>Katru gadu izvēlētas vismaz 4 starptautiskā un nacionālā līmenī atzīmējamas</w:t>
            </w:r>
            <w:r w:rsidR="00A51070" w:rsidRPr="007D008E">
              <w:rPr>
                <w:sz w:val="22"/>
                <w:szCs w:val="22"/>
              </w:rPr>
              <w:t xml:space="preserve"> dienas</w:t>
            </w:r>
            <w:r w:rsidRPr="00BF5500">
              <w:rPr>
                <w:sz w:val="22"/>
                <w:szCs w:val="22"/>
              </w:rPr>
              <w:t xml:space="preserve">, </w:t>
            </w:r>
            <w:r w:rsidRPr="00BF5500">
              <w:rPr>
                <w:b/>
                <w:bCs/>
                <w:sz w:val="22"/>
                <w:szCs w:val="22"/>
              </w:rPr>
              <w:t>pievēršot uzmanību sieviešu un vīriešu situāciju raksturojošajiem statistikas datiem</w:t>
            </w:r>
            <w:r w:rsidR="001E63E0" w:rsidRPr="009231BE">
              <w:rPr>
                <w:b/>
                <w:bCs/>
                <w:sz w:val="22"/>
                <w:szCs w:val="22"/>
              </w:rPr>
              <w:t xml:space="preserve"> valsts iestāžu informatīvajos pasākumos</w:t>
            </w:r>
            <w:r w:rsidRPr="00BF5500">
              <w:rPr>
                <w:sz w:val="22"/>
                <w:szCs w:val="22"/>
              </w:rPr>
              <w:t xml:space="preserve"> </w:t>
            </w:r>
          </w:p>
        </w:tc>
        <w:tc>
          <w:tcPr>
            <w:tcW w:w="1418" w:type="dxa"/>
          </w:tcPr>
          <w:p w14:paraId="2DB9C51F" w14:textId="16022673" w:rsidR="00BF5500" w:rsidRPr="00BF5500" w:rsidRDefault="00BF5500" w:rsidP="00BF5500">
            <w:pPr>
              <w:spacing w:before="100" w:beforeAutospacing="1" w:after="100" w:afterAutospacing="1"/>
              <w:rPr>
                <w:sz w:val="22"/>
                <w:szCs w:val="22"/>
              </w:rPr>
            </w:pPr>
            <w:r w:rsidRPr="00BF5500">
              <w:rPr>
                <w:sz w:val="22"/>
                <w:szCs w:val="22"/>
              </w:rPr>
              <w:t>CSP/LM</w:t>
            </w:r>
          </w:p>
        </w:tc>
        <w:tc>
          <w:tcPr>
            <w:tcW w:w="1843" w:type="dxa"/>
          </w:tcPr>
          <w:p w14:paraId="4ACC0AEE" w14:textId="48BDA8F5" w:rsidR="00BF5500" w:rsidRPr="00BF5500" w:rsidRDefault="00A51070" w:rsidP="00BF5500">
            <w:pPr>
              <w:spacing w:before="100" w:beforeAutospacing="1" w:after="100" w:afterAutospacing="1"/>
              <w:rPr>
                <w:sz w:val="22"/>
                <w:szCs w:val="22"/>
              </w:rPr>
            </w:pPr>
            <w:r w:rsidRPr="007D008E">
              <w:rPr>
                <w:sz w:val="22"/>
                <w:szCs w:val="22"/>
              </w:rPr>
              <w:t>Nozaru ministrijas</w:t>
            </w:r>
          </w:p>
        </w:tc>
        <w:tc>
          <w:tcPr>
            <w:tcW w:w="1701" w:type="dxa"/>
          </w:tcPr>
          <w:p w14:paraId="10CC300B" w14:textId="77777777" w:rsidR="00BF5500" w:rsidRPr="00BF5500" w:rsidRDefault="00BF5500" w:rsidP="00BF5500">
            <w:pPr>
              <w:spacing w:before="100" w:beforeAutospacing="1" w:after="100" w:afterAutospacing="1"/>
              <w:rPr>
                <w:sz w:val="22"/>
                <w:szCs w:val="22"/>
              </w:rPr>
            </w:pPr>
            <w:r w:rsidRPr="00BF5500">
              <w:rPr>
                <w:sz w:val="22"/>
                <w:szCs w:val="22"/>
              </w:rPr>
              <w:t>2027. gada 4.ceturksnis</w:t>
            </w:r>
          </w:p>
        </w:tc>
      </w:tr>
      <w:tr w:rsidR="00FE2FE7" w:rsidRPr="00BF5500" w14:paraId="48172CD5" w14:textId="77777777" w:rsidTr="004A5902">
        <w:tc>
          <w:tcPr>
            <w:tcW w:w="846" w:type="dxa"/>
          </w:tcPr>
          <w:p w14:paraId="529A3E1E" w14:textId="53F61F0E" w:rsidR="00BF5500" w:rsidRPr="00BF5500" w:rsidRDefault="00C21C12" w:rsidP="00BF5500">
            <w:pPr>
              <w:spacing w:before="100" w:beforeAutospacing="1" w:after="100" w:afterAutospacing="1"/>
              <w:rPr>
                <w:sz w:val="22"/>
                <w:szCs w:val="22"/>
              </w:rPr>
            </w:pPr>
            <w:r>
              <w:rPr>
                <w:sz w:val="22"/>
                <w:szCs w:val="22"/>
              </w:rPr>
              <w:t>14</w:t>
            </w:r>
            <w:r w:rsidR="00BF5500" w:rsidRPr="00BF5500">
              <w:rPr>
                <w:sz w:val="22"/>
                <w:szCs w:val="22"/>
              </w:rPr>
              <w:t xml:space="preserve">. </w:t>
            </w:r>
          </w:p>
        </w:tc>
        <w:tc>
          <w:tcPr>
            <w:tcW w:w="2693" w:type="dxa"/>
          </w:tcPr>
          <w:p w14:paraId="024DDD78" w14:textId="24124BA8" w:rsidR="00BF5500" w:rsidRPr="00BF5500" w:rsidRDefault="00BF5500" w:rsidP="00BF5500">
            <w:pPr>
              <w:spacing w:before="100" w:beforeAutospacing="1" w:after="100" w:afterAutospacing="1"/>
              <w:rPr>
                <w:sz w:val="22"/>
                <w:szCs w:val="22"/>
              </w:rPr>
            </w:pPr>
            <w:r w:rsidRPr="00BF5500">
              <w:rPr>
                <w:sz w:val="22"/>
                <w:szCs w:val="22"/>
              </w:rPr>
              <w:t>Dzimuma aspekta integrēšana valsts budžeta procesos</w:t>
            </w:r>
          </w:p>
        </w:tc>
        <w:tc>
          <w:tcPr>
            <w:tcW w:w="2552" w:type="dxa"/>
          </w:tcPr>
          <w:p w14:paraId="0035EC89" w14:textId="77777777" w:rsidR="00BF5500" w:rsidRPr="00BF5500" w:rsidRDefault="00BF5500" w:rsidP="00074A2D">
            <w:pPr>
              <w:spacing w:before="100" w:beforeAutospacing="1" w:after="100" w:afterAutospacing="1"/>
              <w:jc w:val="both"/>
              <w:rPr>
                <w:sz w:val="22"/>
                <w:szCs w:val="22"/>
              </w:rPr>
            </w:pPr>
            <w:r w:rsidRPr="00BF5500">
              <w:rPr>
                <w:sz w:val="22"/>
                <w:szCs w:val="22"/>
              </w:rPr>
              <w:t>Izvērtēta iespēja dzimuma aspekta integrēšanai valsts budžeta procesos un labās prakses piemēri</w:t>
            </w:r>
          </w:p>
        </w:tc>
        <w:tc>
          <w:tcPr>
            <w:tcW w:w="2409" w:type="dxa"/>
          </w:tcPr>
          <w:p w14:paraId="716C00D7" w14:textId="6CED3143" w:rsidR="00BF5500" w:rsidRPr="00BF5500" w:rsidRDefault="007076AD" w:rsidP="00074A2D">
            <w:pPr>
              <w:spacing w:before="100" w:beforeAutospacing="1" w:after="100" w:afterAutospacing="1"/>
              <w:jc w:val="both"/>
              <w:rPr>
                <w:sz w:val="22"/>
                <w:szCs w:val="22"/>
              </w:rPr>
            </w:pPr>
            <w:r w:rsidRPr="007076AD">
              <w:rPr>
                <w:b/>
                <w:bCs/>
                <w:sz w:val="22"/>
                <w:szCs w:val="22"/>
              </w:rPr>
              <w:t xml:space="preserve">Izstrādāti </w:t>
            </w:r>
            <w:r w:rsidR="00BF5500" w:rsidRPr="00BF5500">
              <w:rPr>
                <w:b/>
                <w:bCs/>
                <w:sz w:val="22"/>
                <w:szCs w:val="22"/>
              </w:rPr>
              <w:t>Ieteikumi un rekomendācijas</w:t>
            </w:r>
            <w:r w:rsidR="00BF5500" w:rsidRPr="00BF5500">
              <w:rPr>
                <w:sz w:val="22"/>
                <w:szCs w:val="22"/>
              </w:rPr>
              <w:t xml:space="preserve"> dzimuma aspekta integrēšanai valsts budžeta procesos</w:t>
            </w:r>
          </w:p>
        </w:tc>
        <w:tc>
          <w:tcPr>
            <w:tcW w:w="1418" w:type="dxa"/>
          </w:tcPr>
          <w:p w14:paraId="57692666" w14:textId="77777777" w:rsidR="00BF5500" w:rsidRPr="00BF5500" w:rsidRDefault="00BF5500" w:rsidP="00BF5500">
            <w:pPr>
              <w:spacing w:before="100" w:beforeAutospacing="1" w:after="100" w:afterAutospacing="1"/>
              <w:rPr>
                <w:sz w:val="22"/>
                <w:szCs w:val="22"/>
              </w:rPr>
            </w:pPr>
            <w:r w:rsidRPr="00BF5500">
              <w:rPr>
                <w:sz w:val="22"/>
                <w:szCs w:val="22"/>
              </w:rPr>
              <w:t>LM</w:t>
            </w:r>
          </w:p>
        </w:tc>
        <w:tc>
          <w:tcPr>
            <w:tcW w:w="1843" w:type="dxa"/>
          </w:tcPr>
          <w:p w14:paraId="77F2FF47" w14:textId="29369E00" w:rsidR="00BF5500" w:rsidRPr="00BF5500" w:rsidRDefault="007D008E" w:rsidP="00BF5500">
            <w:pPr>
              <w:spacing w:before="100" w:beforeAutospacing="1" w:after="100" w:afterAutospacing="1"/>
              <w:rPr>
                <w:sz w:val="22"/>
                <w:szCs w:val="22"/>
              </w:rPr>
            </w:pPr>
            <w:r>
              <w:rPr>
                <w:sz w:val="22"/>
                <w:szCs w:val="22"/>
              </w:rPr>
              <w:t>FM</w:t>
            </w:r>
          </w:p>
        </w:tc>
        <w:tc>
          <w:tcPr>
            <w:tcW w:w="1701" w:type="dxa"/>
          </w:tcPr>
          <w:p w14:paraId="40383A08" w14:textId="77777777" w:rsidR="00BF5500" w:rsidRPr="00BF5500" w:rsidRDefault="00BF5500" w:rsidP="00BF5500">
            <w:pPr>
              <w:spacing w:before="100" w:beforeAutospacing="1" w:after="100" w:afterAutospacing="1"/>
              <w:rPr>
                <w:sz w:val="22"/>
                <w:szCs w:val="22"/>
              </w:rPr>
            </w:pPr>
            <w:r w:rsidRPr="00BF5500">
              <w:rPr>
                <w:sz w:val="22"/>
                <w:szCs w:val="22"/>
              </w:rPr>
              <w:t xml:space="preserve">2025. gada 4. ceturksnis </w:t>
            </w:r>
          </w:p>
        </w:tc>
      </w:tr>
      <w:tr w:rsidR="00FE2FE7" w:rsidRPr="00BF5500" w14:paraId="65AD9C7A" w14:textId="77777777" w:rsidTr="004A5902">
        <w:trPr>
          <w:trHeight w:val="2880"/>
        </w:trPr>
        <w:tc>
          <w:tcPr>
            <w:tcW w:w="846" w:type="dxa"/>
            <w:vMerge w:val="restart"/>
          </w:tcPr>
          <w:p w14:paraId="593BC5B4" w14:textId="6287D13F" w:rsidR="00355B8A" w:rsidRPr="00BF5500" w:rsidRDefault="0082454A" w:rsidP="004F3522">
            <w:pPr>
              <w:spacing w:before="100" w:beforeAutospacing="1" w:after="100" w:afterAutospacing="1"/>
              <w:rPr>
                <w:sz w:val="22"/>
                <w:szCs w:val="22"/>
              </w:rPr>
            </w:pPr>
            <w:r>
              <w:rPr>
                <w:sz w:val="22"/>
                <w:szCs w:val="22"/>
              </w:rPr>
              <w:lastRenderedPageBreak/>
              <w:t>1</w:t>
            </w:r>
            <w:r w:rsidR="00C21C12">
              <w:rPr>
                <w:sz w:val="22"/>
                <w:szCs w:val="22"/>
              </w:rPr>
              <w:t>5</w:t>
            </w:r>
            <w:r w:rsidR="00355B8A">
              <w:rPr>
                <w:sz w:val="22"/>
                <w:szCs w:val="22"/>
              </w:rPr>
              <w:t>.</w:t>
            </w:r>
          </w:p>
        </w:tc>
        <w:tc>
          <w:tcPr>
            <w:tcW w:w="2693" w:type="dxa"/>
            <w:vMerge w:val="restart"/>
          </w:tcPr>
          <w:p w14:paraId="651C6CC5" w14:textId="77777777" w:rsidR="00355B8A" w:rsidRPr="00BF5500" w:rsidRDefault="00355B8A" w:rsidP="00074A2D">
            <w:pPr>
              <w:spacing w:before="100" w:beforeAutospacing="1" w:after="100" w:afterAutospacing="1"/>
              <w:jc w:val="both"/>
              <w:rPr>
                <w:rFonts w:cstheme="minorHAnsi"/>
                <w:sz w:val="22"/>
                <w:szCs w:val="22"/>
              </w:rPr>
            </w:pPr>
            <w:r w:rsidRPr="009C03C1">
              <w:rPr>
                <w:rFonts w:cstheme="minorHAnsi"/>
                <w:sz w:val="22"/>
                <w:szCs w:val="22"/>
              </w:rPr>
              <w:t>Sociālo darbinieku profesionālās kompetences pilnveide un izpratnes veicināšana par vienlīdzīgu tiesību un iespēju principu un tā nozīmi sociālajā darbā ar klientiem</w:t>
            </w:r>
          </w:p>
        </w:tc>
        <w:tc>
          <w:tcPr>
            <w:tcW w:w="2552" w:type="dxa"/>
          </w:tcPr>
          <w:p w14:paraId="0E85AE5E" w14:textId="54B91487" w:rsidR="00355B8A" w:rsidRPr="00BF5500" w:rsidRDefault="00C21C12" w:rsidP="00074A2D">
            <w:pPr>
              <w:spacing w:before="100" w:beforeAutospacing="1" w:after="100" w:afterAutospacing="1"/>
              <w:jc w:val="both"/>
              <w:rPr>
                <w:sz w:val="22"/>
                <w:szCs w:val="22"/>
              </w:rPr>
            </w:pPr>
            <w:r>
              <w:rPr>
                <w:sz w:val="22"/>
                <w:szCs w:val="22"/>
              </w:rPr>
              <w:t>15</w:t>
            </w:r>
            <w:r w:rsidR="00355B8A">
              <w:rPr>
                <w:sz w:val="22"/>
                <w:szCs w:val="22"/>
              </w:rPr>
              <w:t>.1. Metodikas “Sociālais darbs daudzveidīgā sabiedrībā” klātienes mācību un e-mācību īstenošan</w:t>
            </w:r>
            <w:r w:rsidR="00960324">
              <w:rPr>
                <w:sz w:val="22"/>
                <w:szCs w:val="22"/>
              </w:rPr>
              <w:t>a</w:t>
            </w:r>
          </w:p>
        </w:tc>
        <w:tc>
          <w:tcPr>
            <w:tcW w:w="2409" w:type="dxa"/>
          </w:tcPr>
          <w:p w14:paraId="397EF5BC" w14:textId="77777777" w:rsidR="00355B8A" w:rsidRDefault="00355B8A" w:rsidP="00074A2D">
            <w:pPr>
              <w:spacing w:before="100" w:beforeAutospacing="1" w:after="100" w:afterAutospacing="1"/>
              <w:rPr>
                <w:sz w:val="22"/>
                <w:szCs w:val="22"/>
              </w:rPr>
            </w:pPr>
            <w:r>
              <w:rPr>
                <w:sz w:val="22"/>
                <w:szCs w:val="22"/>
              </w:rPr>
              <w:t xml:space="preserve">- </w:t>
            </w:r>
            <w:r w:rsidRPr="00510C47">
              <w:rPr>
                <w:b/>
                <w:bCs/>
                <w:sz w:val="22"/>
                <w:szCs w:val="22"/>
              </w:rPr>
              <w:t>Nodrošinātas klātienes mācības sociālajiem darbiniekiem</w:t>
            </w:r>
            <w:r>
              <w:rPr>
                <w:sz w:val="22"/>
                <w:szCs w:val="22"/>
              </w:rPr>
              <w:t xml:space="preserve"> LM izstrādātās metodikas “Sociālais darbs daudzveidīgā sabiedrībā” apguvei</w:t>
            </w:r>
          </w:p>
          <w:p w14:paraId="56A5FFDE" w14:textId="77777777" w:rsidR="00355B8A" w:rsidRPr="00BF5500" w:rsidRDefault="00355B8A" w:rsidP="00074A2D">
            <w:pPr>
              <w:spacing w:before="100" w:beforeAutospacing="1" w:after="100" w:afterAutospacing="1"/>
              <w:rPr>
                <w:sz w:val="22"/>
                <w:szCs w:val="22"/>
              </w:rPr>
            </w:pPr>
            <w:r>
              <w:rPr>
                <w:sz w:val="22"/>
                <w:szCs w:val="22"/>
              </w:rPr>
              <w:t xml:space="preserve">- </w:t>
            </w:r>
            <w:r w:rsidRPr="00126E9F">
              <w:rPr>
                <w:b/>
                <w:bCs/>
                <w:sz w:val="22"/>
                <w:szCs w:val="22"/>
              </w:rPr>
              <w:t>Nodrošinātas e-mācības ikvienam interesentam</w:t>
            </w:r>
            <w:r>
              <w:rPr>
                <w:sz w:val="22"/>
                <w:szCs w:val="22"/>
              </w:rPr>
              <w:t xml:space="preserve"> par LM izstrādāto metodiku “Sociālais darbs daudzveidīgā sabiedrībā”</w:t>
            </w:r>
          </w:p>
        </w:tc>
        <w:tc>
          <w:tcPr>
            <w:tcW w:w="1418" w:type="dxa"/>
          </w:tcPr>
          <w:p w14:paraId="3955C7EF" w14:textId="77777777" w:rsidR="00355B8A" w:rsidRPr="00BF5500" w:rsidRDefault="00355B8A" w:rsidP="004F3522">
            <w:pPr>
              <w:spacing w:before="100" w:beforeAutospacing="1" w:after="100" w:afterAutospacing="1"/>
              <w:rPr>
                <w:sz w:val="22"/>
                <w:szCs w:val="22"/>
              </w:rPr>
            </w:pPr>
            <w:r>
              <w:rPr>
                <w:sz w:val="22"/>
                <w:szCs w:val="22"/>
              </w:rPr>
              <w:t>LM</w:t>
            </w:r>
          </w:p>
        </w:tc>
        <w:tc>
          <w:tcPr>
            <w:tcW w:w="1843" w:type="dxa"/>
          </w:tcPr>
          <w:p w14:paraId="2AE3DEF6" w14:textId="77777777" w:rsidR="00355B8A" w:rsidRPr="00BF5500" w:rsidRDefault="00355B8A" w:rsidP="004F3522">
            <w:pPr>
              <w:spacing w:before="100" w:beforeAutospacing="1" w:after="100" w:afterAutospacing="1"/>
              <w:rPr>
                <w:sz w:val="22"/>
                <w:szCs w:val="22"/>
              </w:rPr>
            </w:pPr>
          </w:p>
        </w:tc>
        <w:tc>
          <w:tcPr>
            <w:tcW w:w="1701" w:type="dxa"/>
          </w:tcPr>
          <w:p w14:paraId="02ED539F" w14:textId="77777777" w:rsidR="00355B8A" w:rsidRPr="00BF5500" w:rsidRDefault="00355B8A" w:rsidP="004F3522">
            <w:pPr>
              <w:spacing w:before="100" w:beforeAutospacing="1" w:after="100" w:afterAutospacing="1"/>
              <w:rPr>
                <w:sz w:val="22"/>
                <w:szCs w:val="22"/>
              </w:rPr>
            </w:pPr>
            <w:r>
              <w:rPr>
                <w:sz w:val="22"/>
                <w:szCs w:val="22"/>
              </w:rPr>
              <w:t>2027. gada 4. ceturksnis</w:t>
            </w:r>
          </w:p>
        </w:tc>
      </w:tr>
      <w:tr w:rsidR="00FE2FE7" w14:paraId="7DED810F" w14:textId="77777777" w:rsidTr="004A5902">
        <w:trPr>
          <w:trHeight w:val="2880"/>
        </w:trPr>
        <w:tc>
          <w:tcPr>
            <w:tcW w:w="846" w:type="dxa"/>
            <w:vMerge/>
          </w:tcPr>
          <w:p w14:paraId="5058EA7C" w14:textId="77777777" w:rsidR="00355B8A" w:rsidRDefault="00355B8A" w:rsidP="004F3522">
            <w:pPr>
              <w:spacing w:before="100" w:beforeAutospacing="1" w:after="100" w:afterAutospacing="1"/>
              <w:rPr>
                <w:sz w:val="22"/>
                <w:szCs w:val="22"/>
              </w:rPr>
            </w:pPr>
          </w:p>
        </w:tc>
        <w:tc>
          <w:tcPr>
            <w:tcW w:w="2693" w:type="dxa"/>
            <w:vMerge/>
          </w:tcPr>
          <w:p w14:paraId="7E2872AE" w14:textId="77777777" w:rsidR="00355B8A" w:rsidRDefault="00355B8A" w:rsidP="004F3522">
            <w:pPr>
              <w:spacing w:before="100" w:beforeAutospacing="1" w:after="100" w:afterAutospacing="1"/>
              <w:rPr>
                <w:rFonts w:ascii="Times New Roman" w:hAnsi="Times New Roman" w:cs="Times New Roman"/>
                <w:sz w:val="22"/>
                <w:szCs w:val="22"/>
              </w:rPr>
            </w:pPr>
          </w:p>
        </w:tc>
        <w:tc>
          <w:tcPr>
            <w:tcW w:w="2552" w:type="dxa"/>
          </w:tcPr>
          <w:p w14:paraId="70C48308" w14:textId="553B8911" w:rsidR="00355B8A" w:rsidRDefault="00C21C12" w:rsidP="004F3522">
            <w:pPr>
              <w:spacing w:before="100" w:beforeAutospacing="1" w:after="100" w:afterAutospacing="1"/>
              <w:rPr>
                <w:sz w:val="22"/>
                <w:szCs w:val="22"/>
              </w:rPr>
            </w:pPr>
            <w:r>
              <w:rPr>
                <w:sz w:val="22"/>
                <w:szCs w:val="22"/>
              </w:rPr>
              <w:t>15</w:t>
            </w:r>
            <w:r w:rsidR="00355B8A">
              <w:rPr>
                <w:sz w:val="22"/>
                <w:szCs w:val="22"/>
              </w:rPr>
              <w:t>.2. profesionālās pilnveides izglītības programmas “Sociālais darbs kopienā” izstrāde un mācību īstenošana sociālajiem darbiniekiem</w:t>
            </w:r>
          </w:p>
        </w:tc>
        <w:tc>
          <w:tcPr>
            <w:tcW w:w="2409" w:type="dxa"/>
          </w:tcPr>
          <w:p w14:paraId="3DE3B3A1" w14:textId="77777777" w:rsidR="00355B8A" w:rsidRDefault="00355B8A" w:rsidP="00960324">
            <w:pPr>
              <w:spacing w:before="100" w:beforeAutospacing="1" w:after="100" w:afterAutospacing="1"/>
              <w:jc w:val="both"/>
              <w:rPr>
                <w:sz w:val="22"/>
                <w:szCs w:val="22"/>
              </w:rPr>
            </w:pPr>
            <w:r w:rsidRPr="00B64B80">
              <w:rPr>
                <w:b/>
                <w:bCs/>
                <w:sz w:val="22"/>
                <w:szCs w:val="22"/>
              </w:rPr>
              <w:t>Izstrādāta profesionālās pilnveides izglītības programma “Sociālais darbs kopienā”</w:t>
            </w:r>
            <w:r>
              <w:rPr>
                <w:sz w:val="22"/>
                <w:szCs w:val="22"/>
              </w:rPr>
              <w:t xml:space="preserve"> ar ievirzi un specializāciju sociālajam darbam kopienā, ietverot vienlīdzīgu tiesību un iespēju principus un sociālo darbu ar daudzveidīgām kopienām.</w:t>
            </w:r>
          </w:p>
        </w:tc>
        <w:tc>
          <w:tcPr>
            <w:tcW w:w="1418" w:type="dxa"/>
          </w:tcPr>
          <w:p w14:paraId="636F0CB7" w14:textId="77777777" w:rsidR="00355B8A" w:rsidRDefault="00355B8A" w:rsidP="004F3522">
            <w:pPr>
              <w:spacing w:before="100" w:beforeAutospacing="1" w:after="100" w:afterAutospacing="1"/>
              <w:rPr>
                <w:sz w:val="22"/>
                <w:szCs w:val="22"/>
              </w:rPr>
            </w:pPr>
            <w:r>
              <w:rPr>
                <w:sz w:val="22"/>
                <w:szCs w:val="22"/>
              </w:rPr>
              <w:t>LM</w:t>
            </w:r>
          </w:p>
        </w:tc>
        <w:tc>
          <w:tcPr>
            <w:tcW w:w="1843" w:type="dxa"/>
          </w:tcPr>
          <w:p w14:paraId="3647B188" w14:textId="77777777" w:rsidR="00355B8A" w:rsidRPr="00BF5500" w:rsidRDefault="00355B8A" w:rsidP="004F3522">
            <w:pPr>
              <w:spacing w:before="100" w:beforeAutospacing="1" w:after="100" w:afterAutospacing="1"/>
              <w:rPr>
                <w:sz w:val="22"/>
                <w:szCs w:val="22"/>
              </w:rPr>
            </w:pPr>
          </w:p>
        </w:tc>
        <w:tc>
          <w:tcPr>
            <w:tcW w:w="1701" w:type="dxa"/>
          </w:tcPr>
          <w:p w14:paraId="77727B34" w14:textId="77777777" w:rsidR="00355B8A" w:rsidRDefault="00355B8A" w:rsidP="004F3522">
            <w:pPr>
              <w:spacing w:before="100" w:beforeAutospacing="1" w:after="100" w:afterAutospacing="1"/>
              <w:rPr>
                <w:sz w:val="22"/>
                <w:szCs w:val="22"/>
              </w:rPr>
            </w:pPr>
            <w:r>
              <w:rPr>
                <w:sz w:val="22"/>
                <w:szCs w:val="22"/>
              </w:rPr>
              <w:t>2026. gada 2. ceturksnis</w:t>
            </w:r>
          </w:p>
        </w:tc>
      </w:tr>
    </w:tbl>
    <w:p w14:paraId="772D5CAA" w14:textId="77777777" w:rsidR="007C5813" w:rsidRPr="00723680" w:rsidRDefault="007C5813" w:rsidP="007C5813">
      <w:pPr>
        <w:rPr>
          <w:rFonts w:ascii="Times New Roman" w:hAnsi="Times New Roman"/>
        </w:rPr>
      </w:pPr>
    </w:p>
    <w:p w14:paraId="27837E65" w14:textId="77777777" w:rsidR="002703DD" w:rsidRDefault="002703DD" w:rsidP="002703DD">
      <w:pPr>
        <w:jc w:val="center"/>
      </w:pPr>
    </w:p>
    <w:sectPr w:rsidR="002703DD" w:rsidSect="003B4A9F">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FD59C" w14:textId="77777777" w:rsidR="008E267F" w:rsidRDefault="008E267F" w:rsidP="002703DD">
      <w:r>
        <w:separator/>
      </w:r>
    </w:p>
  </w:endnote>
  <w:endnote w:type="continuationSeparator" w:id="0">
    <w:p w14:paraId="0D2DB8E6" w14:textId="77777777" w:rsidR="008E267F" w:rsidRDefault="008E267F" w:rsidP="0027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89071"/>
      <w:docPartObj>
        <w:docPartGallery w:val="Page Numbers (Bottom of Page)"/>
        <w:docPartUnique/>
      </w:docPartObj>
    </w:sdtPr>
    <w:sdtEndPr>
      <w:rPr>
        <w:noProof/>
      </w:rPr>
    </w:sdtEndPr>
    <w:sdtContent>
      <w:p w14:paraId="0BDDCA17" w14:textId="0817FDBB" w:rsidR="009D389B" w:rsidRDefault="009D389B">
        <w:pPr>
          <w:pStyle w:val="Footer"/>
          <w:jc w:val="right"/>
        </w:pPr>
        <w:r>
          <w:fldChar w:fldCharType="begin"/>
        </w:r>
        <w:r>
          <w:instrText xml:space="preserve"> PAGE   \* MERGEFORMAT </w:instrText>
        </w:r>
        <w:r>
          <w:fldChar w:fldCharType="separate"/>
        </w:r>
        <w:r w:rsidR="0017105C">
          <w:rPr>
            <w:noProof/>
          </w:rPr>
          <w:t>2</w:t>
        </w:r>
        <w:r>
          <w:rPr>
            <w:noProof/>
          </w:rPr>
          <w:fldChar w:fldCharType="end"/>
        </w:r>
      </w:p>
    </w:sdtContent>
  </w:sdt>
  <w:p w14:paraId="2962586B" w14:textId="77777777" w:rsidR="009D389B" w:rsidRDefault="009D38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9C2F" w14:textId="77777777" w:rsidR="008E267F" w:rsidRDefault="008E267F" w:rsidP="002703DD">
      <w:r>
        <w:separator/>
      </w:r>
    </w:p>
  </w:footnote>
  <w:footnote w:type="continuationSeparator" w:id="0">
    <w:p w14:paraId="46F3A39F" w14:textId="77777777" w:rsidR="008E267F" w:rsidRDefault="008E267F" w:rsidP="002703DD">
      <w:r>
        <w:continuationSeparator/>
      </w:r>
    </w:p>
  </w:footnote>
  <w:footnote w:id="1">
    <w:p w14:paraId="0CC6A70E" w14:textId="77777777" w:rsidR="00CF2816" w:rsidRDefault="00CF2816" w:rsidP="00CF2816">
      <w:pPr>
        <w:pStyle w:val="FootnoteText"/>
      </w:pPr>
      <w:r>
        <w:rPr>
          <w:rStyle w:val="FootnoteReference"/>
        </w:rPr>
        <w:footnoteRef/>
      </w:r>
      <w:r>
        <w:t xml:space="preserve"> </w:t>
      </w:r>
      <w:hyperlink r:id="rId1" w:history="1">
        <w:r w:rsidRPr="00D76100">
          <w:rPr>
            <w:rStyle w:val="Hyperlink"/>
            <w:rFonts w:ascii="Times New Roman" w:hAnsi="Times New Roman" w:cs="Times New Roman"/>
          </w:rPr>
          <w:t>http://tap.mk.gov.lv/lv/mk/tap/?pid=40502106</w:t>
        </w:r>
      </w:hyperlink>
    </w:p>
  </w:footnote>
  <w:footnote w:id="2">
    <w:p w14:paraId="142C9C3F" w14:textId="77777777" w:rsidR="002703DD" w:rsidRPr="00D647ED" w:rsidRDefault="002703DD" w:rsidP="002703DD">
      <w:pPr>
        <w:pStyle w:val="FootnoteText"/>
        <w:jc w:val="both"/>
        <w:rPr>
          <w:rFonts w:cstheme="minorHAnsi"/>
        </w:rPr>
      </w:pPr>
      <w:r w:rsidRPr="00EA38CC">
        <w:rPr>
          <w:rStyle w:val="FootnoteReference"/>
          <w:rFonts w:ascii="Times New Roman" w:hAnsi="Times New Roman" w:cs="Times New Roman"/>
        </w:rPr>
        <w:footnoteRef/>
      </w:r>
      <w:r w:rsidRPr="00EA38CC">
        <w:rPr>
          <w:rFonts w:ascii="Times New Roman" w:hAnsi="Times New Roman" w:cs="Times New Roman"/>
        </w:rPr>
        <w:t xml:space="preserve"> </w:t>
      </w:r>
      <w:hyperlink r:id="rId2" w:history="1">
        <w:r w:rsidRPr="00D647ED">
          <w:rPr>
            <w:rStyle w:val="Hyperlink"/>
            <w:rFonts w:cstheme="minorHAnsi"/>
          </w:rPr>
          <w:t>https://www.lm.gov.lv/lv/dzimumu-lidztiesibas-komiteja</w:t>
        </w:r>
      </w:hyperlink>
      <w:r w:rsidRPr="00D647ED">
        <w:rPr>
          <w:rFonts w:cstheme="minorHAnsi"/>
        </w:rPr>
        <w:t xml:space="preserve"> </w:t>
      </w:r>
    </w:p>
  </w:footnote>
  <w:footnote w:id="3">
    <w:p w14:paraId="0E72D72F" w14:textId="77777777" w:rsidR="002703DD" w:rsidRPr="00D647ED" w:rsidRDefault="002703DD" w:rsidP="002703DD">
      <w:pPr>
        <w:pStyle w:val="FootnoteText"/>
        <w:rPr>
          <w:rFonts w:cstheme="minorHAnsi"/>
        </w:rPr>
      </w:pPr>
      <w:r w:rsidRPr="00D647ED">
        <w:rPr>
          <w:rStyle w:val="FootnoteReference"/>
          <w:rFonts w:cstheme="minorHAnsi"/>
        </w:rPr>
        <w:footnoteRef/>
      </w:r>
      <w:r w:rsidRPr="00D647ED">
        <w:rPr>
          <w:rFonts w:cstheme="minorHAnsi"/>
        </w:rPr>
        <w:t xml:space="preserve"> Eiropas Savienības struktūrfondu un Kohēzijas fonda 2021.–2027.gada plānošanas perioda darbības programma”, 4.3.4. SAM “Sekmēt aktīvu iekļaušanu, lai veicinātu vienlīdzīgas iespējas un aktīvu līdzdalību, kā arī uzlabotu nodarbinātību”, 4.3.4.1. SAM “Vienlīdzīgu iespēju un nediskriminācijas veicināšana”.</w:t>
      </w:r>
    </w:p>
  </w:footnote>
  <w:footnote w:id="4">
    <w:p w14:paraId="66B5E5B0" w14:textId="77777777" w:rsidR="002703DD" w:rsidRPr="00D647ED" w:rsidRDefault="002703DD" w:rsidP="002703DD">
      <w:pPr>
        <w:pStyle w:val="FootnoteText"/>
        <w:rPr>
          <w:rFonts w:cstheme="minorHAnsi"/>
        </w:rPr>
      </w:pPr>
      <w:r w:rsidRPr="00D647ED">
        <w:rPr>
          <w:rStyle w:val="FootnoteReference"/>
          <w:rFonts w:cstheme="minorHAnsi"/>
        </w:rPr>
        <w:footnoteRef/>
      </w:r>
      <w:r w:rsidRPr="00D647ED">
        <w:rPr>
          <w:rFonts w:cstheme="minorHAnsi"/>
        </w:rPr>
        <w:t xml:space="preserve">  Eiropas Savienības struktūrfondu un Kohēzijas fonda 2021.–2027.gada plānošanas perioda darbības programma”, 4.3.4. SAM “Sekmēt aktīvu iekļaušanu, lai veicinātu vienlīdzīgas iespējas un aktīvu līdzdalību, kā arī uzlabotu nodarbinātību”, 4.3.4.3. SAM “Pasākumi ģimenes un darba dzīves saskaņošanai” .</w:t>
      </w:r>
    </w:p>
  </w:footnote>
  <w:footnote w:id="5">
    <w:p w14:paraId="6B3972F1" w14:textId="77777777" w:rsidR="002703DD" w:rsidRPr="007826E4" w:rsidRDefault="002703DD" w:rsidP="002703DD">
      <w:pPr>
        <w:pStyle w:val="FootnoteText"/>
      </w:pPr>
      <w:r w:rsidRPr="00D647ED">
        <w:rPr>
          <w:rStyle w:val="FootnoteReference"/>
          <w:rFonts w:cstheme="minorHAnsi"/>
        </w:rPr>
        <w:footnoteRef/>
      </w:r>
      <w:r w:rsidRPr="00D647ED">
        <w:rPr>
          <w:rFonts w:cstheme="minorHAnsi"/>
        </w:rPr>
        <w:t xml:space="preserve"> Eiropas Savienības struktūrfondu un Kohēzijas fonda 2021.–2027.gada plānošanas perioda darbības programma”, 4.3.4. SAM “Sekmēt aktīvu iekļaušanu, lai veicinātu vienlīdzīgas iespējas un aktīvu līdzdalību, kā arī uzlabotu nodarbinātību”, 4.3.4.2. SAM “Atbalsta pasākumi diskriminācijas riskam pakļautajām grupām vienlīdzīgu iespēju un tiesību realizēšanai dažādās dzīves jomās”</w:t>
      </w:r>
    </w:p>
  </w:footnote>
  <w:footnote w:id="6">
    <w:p w14:paraId="773696B2" w14:textId="77777777" w:rsidR="00C83250" w:rsidRPr="00E077DD" w:rsidRDefault="00C83250" w:rsidP="00C83250">
      <w:pPr>
        <w:pStyle w:val="NormalWeb"/>
        <w:spacing w:before="0" w:beforeAutospacing="0" w:after="0" w:afterAutospacing="0"/>
        <w:jc w:val="both"/>
        <w:rPr>
          <w:i/>
          <w:sz w:val="18"/>
          <w:szCs w:val="18"/>
        </w:rPr>
      </w:pPr>
      <w:r w:rsidRPr="00E077DD">
        <w:rPr>
          <w:rStyle w:val="FootnoteReference"/>
          <w:i/>
        </w:rPr>
        <w:footnoteRef/>
      </w:r>
      <w:r w:rsidRPr="00E077DD">
        <w:rPr>
          <w:i/>
        </w:rPr>
        <w:t xml:space="preserve"> </w:t>
      </w:r>
      <w:r w:rsidRPr="00E077DD">
        <w:rPr>
          <w:b/>
          <w:i/>
          <w:sz w:val="18"/>
          <w:szCs w:val="18"/>
        </w:rPr>
        <w:t>Stereotipi</w:t>
      </w:r>
      <w:r w:rsidRPr="00E077DD">
        <w:rPr>
          <w:i/>
          <w:sz w:val="18"/>
          <w:szCs w:val="18"/>
        </w:rPr>
        <w:t xml:space="preserve"> - vispārējs, vienkāršots priekšskats par sociālo grupu. Bieži vien stereotipi ir negatīvi un saistās ar </w:t>
      </w:r>
      <w:hyperlink r:id="rId3" w:tooltip="Aizspriedumi (vēl nav uzrakstīts)" w:history="1">
        <w:r w:rsidRPr="00E077DD">
          <w:rPr>
            <w:i/>
            <w:sz w:val="18"/>
            <w:szCs w:val="18"/>
          </w:rPr>
          <w:t>aizspriedumiem</w:t>
        </w:r>
      </w:hyperlink>
      <w:r w:rsidRPr="00E077DD">
        <w:rPr>
          <w:i/>
          <w:sz w:val="18"/>
          <w:szCs w:val="18"/>
        </w:rPr>
        <w:t xml:space="preserve"> un </w:t>
      </w:r>
      <w:hyperlink r:id="rId4" w:tooltip="Diskriminācija" w:history="1">
        <w:r w:rsidRPr="00E077DD">
          <w:rPr>
            <w:i/>
            <w:sz w:val="18"/>
            <w:szCs w:val="18"/>
          </w:rPr>
          <w:t>diskrimināciju</w:t>
        </w:r>
      </w:hyperlink>
      <w:r w:rsidRPr="00E077DD">
        <w:rPr>
          <w:i/>
          <w:sz w:val="18"/>
          <w:szCs w:val="18"/>
        </w:rPr>
        <w:t>. Tie ir ļoti noturīgi, un pārmaiņas tajos notiek tikai ilgākā laika posmā.</w:t>
      </w:r>
    </w:p>
    <w:p w14:paraId="044025DA" w14:textId="77777777" w:rsidR="00C83250" w:rsidRPr="00E077DD" w:rsidRDefault="00C83250" w:rsidP="00C83250">
      <w:pPr>
        <w:jc w:val="both"/>
        <w:rPr>
          <w:i/>
          <w:sz w:val="18"/>
          <w:szCs w:val="18"/>
        </w:rPr>
      </w:pPr>
      <w:r w:rsidRPr="00E077DD">
        <w:rPr>
          <w:i/>
          <w:sz w:val="18"/>
          <w:szCs w:val="18"/>
        </w:rPr>
        <w:t xml:space="preserve">Par stereotipiem jeb stereotipiskiem priekšstatiem </w:t>
      </w:r>
      <w:hyperlink r:id="rId5" w:tooltip="Socioloģija" w:history="1">
        <w:r w:rsidRPr="00E077DD">
          <w:rPr>
            <w:i/>
            <w:sz w:val="18"/>
            <w:szCs w:val="18"/>
          </w:rPr>
          <w:t>socioloģijā</w:t>
        </w:r>
      </w:hyperlink>
      <w:r w:rsidRPr="00E077DD">
        <w:rPr>
          <w:i/>
          <w:sz w:val="18"/>
          <w:szCs w:val="18"/>
        </w:rPr>
        <w:t xml:space="preserve"> sauc noturīgus, pārspīlētus un </w:t>
      </w:r>
      <w:hyperlink r:id="rId6" w:tooltip="Objektivitate (vēl nav uzrakstīts)" w:history="1">
        <w:r w:rsidRPr="00E077DD">
          <w:rPr>
            <w:i/>
            <w:sz w:val="18"/>
            <w:szCs w:val="18"/>
          </w:rPr>
          <w:t>neobjektīvus</w:t>
        </w:r>
      </w:hyperlink>
      <w:r w:rsidRPr="00E077DD">
        <w:rPr>
          <w:i/>
          <w:sz w:val="18"/>
          <w:szCs w:val="18"/>
        </w:rPr>
        <w:t xml:space="preserve"> priekšstatus par kādu cilvēku tipu, grupu vai sabiedrību. Tā pamatā ir</w:t>
      </w:r>
      <w:r w:rsidRPr="00E077DD">
        <w:rPr>
          <w:i/>
        </w:rPr>
        <w:t xml:space="preserve"> </w:t>
      </w:r>
      <w:r w:rsidRPr="00E077DD">
        <w:rPr>
          <w:i/>
          <w:sz w:val="18"/>
          <w:szCs w:val="18"/>
        </w:rPr>
        <w:t>aizspriedumi, nevis fakti. Stereotipi nostiprinās cilvēka atmiņā un pretojas pārmaiņām vai faktiem, kuri pierāda pretējo.</w:t>
      </w:r>
      <w:r w:rsidRPr="00E077DD">
        <w:t xml:space="preserve"> </w:t>
      </w:r>
      <w:r w:rsidRPr="00E077DD">
        <w:rPr>
          <w:i/>
          <w:sz w:val="18"/>
          <w:szCs w:val="18"/>
        </w:rPr>
        <w:t>Avots:</w:t>
      </w:r>
      <w:r>
        <w:rPr>
          <w:i/>
          <w:sz w:val="18"/>
          <w:szCs w:val="18"/>
        </w:rPr>
        <w:t xml:space="preserve"> </w:t>
      </w:r>
      <w:r w:rsidRPr="00E077DD">
        <w:rPr>
          <w:rStyle w:val="reference-text"/>
          <w:i/>
          <w:sz w:val="18"/>
          <w:szCs w:val="18"/>
        </w:rPr>
        <w:t>Ide</w:t>
      </w:r>
      <w:r>
        <w:rPr>
          <w:rStyle w:val="reference-text"/>
          <w:i/>
          <w:sz w:val="18"/>
          <w:szCs w:val="18"/>
        </w:rPr>
        <w:t>ju vārdnīca, 1999, Zvaigzne ABC</w:t>
      </w:r>
      <w:r w:rsidRPr="00E077DD">
        <w:rPr>
          <w:rStyle w:val="reference-text"/>
          <w:i/>
          <w:sz w:val="18"/>
          <w:szCs w:val="18"/>
        </w:rPr>
        <w:t>.</w:t>
      </w:r>
    </w:p>
  </w:footnote>
  <w:footnote w:id="7">
    <w:p w14:paraId="59916DAC" w14:textId="0C042EDD" w:rsidR="00B26262" w:rsidRPr="00B26262" w:rsidRDefault="00B26262">
      <w:pPr>
        <w:pStyle w:val="FootnoteText"/>
        <w:rPr>
          <w:lang w:val="en-US"/>
        </w:rPr>
      </w:pPr>
      <w:r>
        <w:rPr>
          <w:rStyle w:val="FootnoteReference"/>
        </w:rPr>
        <w:footnoteRef/>
      </w:r>
      <w:r>
        <w:t xml:space="preserve"> </w:t>
      </w:r>
      <w:hyperlink r:id="rId7" w:history="1">
        <w:r w:rsidR="009E19FD" w:rsidRPr="00267AE4">
          <w:rPr>
            <w:rStyle w:val="Hyperlink"/>
          </w:rPr>
          <w:t>https://www.oecd.org/education/gender-stereotypes-in-education-a46ae056-en.htm</w:t>
        </w:r>
      </w:hyperlink>
      <w:r w:rsidR="009E19FD">
        <w:t xml:space="preserve"> </w:t>
      </w:r>
    </w:p>
  </w:footnote>
  <w:footnote w:id="8">
    <w:p w14:paraId="4B51DF52" w14:textId="3C448BBC" w:rsidR="00B26262" w:rsidRPr="00B26262" w:rsidRDefault="00B26262">
      <w:pPr>
        <w:pStyle w:val="FootnoteText"/>
        <w:rPr>
          <w:lang w:val="en-US"/>
        </w:rPr>
      </w:pPr>
      <w:r>
        <w:rPr>
          <w:rStyle w:val="FootnoteReference"/>
        </w:rPr>
        <w:footnoteRef/>
      </w:r>
      <w:r>
        <w:t xml:space="preserve"> </w:t>
      </w:r>
      <w:r>
        <w:rPr>
          <w:lang w:val="en-US"/>
        </w:rPr>
        <w:t>EIGE indekss 2023</w:t>
      </w:r>
      <w:r w:rsidR="00771A5A">
        <w:rPr>
          <w:lang w:val="en-US"/>
        </w:rPr>
        <w:t xml:space="preserve"> </w:t>
      </w:r>
      <w:hyperlink r:id="rId8" w:history="1">
        <w:r w:rsidR="00771A5A" w:rsidRPr="0036391D">
          <w:rPr>
            <w:rStyle w:val="Hyperlink"/>
            <w:lang w:val="en-US"/>
          </w:rPr>
          <w:t>https://eige.europa.eu/gender-equality-index/2023/LV</w:t>
        </w:r>
      </w:hyperlink>
      <w:r w:rsidR="00771A5A">
        <w:rPr>
          <w:lang w:val="en-US"/>
        </w:rPr>
        <w:t xml:space="preserve"> </w:t>
      </w:r>
    </w:p>
  </w:footnote>
  <w:footnote w:id="9">
    <w:p w14:paraId="2C7196B7" w14:textId="20270919" w:rsidR="00B26262" w:rsidRPr="00B26262" w:rsidRDefault="00B26262">
      <w:pPr>
        <w:pStyle w:val="FootnoteText"/>
        <w:rPr>
          <w:lang w:val="en-US"/>
        </w:rPr>
      </w:pPr>
      <w:r>
        <w:rPr>
          <w:rStyle w:val="FootnoteReference"/>
        </w:rPr>
        <w:footnoteRef/>
      </w:r>
      <w:r>
        <w:t xml:space="preserve"> </w:t>
      </w:r>
      <w:hyperlink r:id="rId9" w:history="1">
        <w:r w:rsidR="004D7B86" w:rsidRPr="00267AE4">
          <w:rPr>
            <w:rStyle w:val="Hyperlink"/>
          </w:rPr>
          <w:t>https://stat.gov.lv/lv/statistikas-temas/labklajibas-un-vienlidzibas-raditaji/dzimumlidztiesiba/6301-dzimumu-lidztiesiba?themeCode=GE</w:t>
        </w:r>
      </w:hyperlink>
      <w:r w:rsidR="004D7B86">
        <w:t xml:space="preserve"> </w:t>
      </w:r>
      <w:r>
        <w:rPr>
          <w:lang w:val="en-US"/>
        </w:rPr>
        <w:t xml:space="preserve"> </w:t>
      </w:r>
    </w:p>
  </w:footnote>
  <w:footnote w:id="10">
    <w:p w14:paraId="41469741" w14:textId="434D201B" w:rsidR="005655B0" w:rsidRPr="005655B0" w:rsidRDefault="005655B0">
      <w:pPr>
        <w:pStyle w:val="FootnoteText"/>
        <w:rPr>
          <w:lang w:val="en-US"/>
        </w:rPr>
      </w:pPr>
      <w:r>
        <w:rPr>
          <w:rStyle w:val="FootnoteReference"/>
        </w:rPr>
        <w:footnoteRef/>
      </w:r>
      <w:r>
        <w:t xml:space="preserve"> </w:t>
      </w:r>
      <w:hyperlink r:id="rId10" w:history="1">
        <w:r w:rsidRPr="00930FF0">
          <w:rPr>
            <w:rStyle w:val="Hyperlink"/>
          </w:rPr>
          <w:t>https://www.oecd.org/education/what-can-schools-and-teachers-do-to-help-boys-close-the-gap-in-reading-performance-bcbf795e-en.htm</w:t>
        </w:r>
      </w:hyperlink>
      <w:r>
        <w:t xml:space="preserve"> </w:t>
      </w:r>
    </w:p>
  </w:footnote>
  <w:footnote w:id="11">
    <w:p w14:paraId="6CE3AA7E" w14:textId="2F4E82F1" w:rsidR="001119FD" w:rsidRPr="001119FD" w:rsidRDefault="001119FD">
      <w:pPr>
        <w:pStyle w:val="FootnoteText"/>
        <w:rPr>
          <w:lang w:val="en-US"/>
        </w:rPr>
      </w:pPr>
      <w:r>
        <w:rPr>
          <w:rStyle w:val="FootnoteReference"/>
        </w:rPr>
        <w:footnoteRef/>
      </w:r>
      <w:r>
        <w:t xml:space="preserve"> </w:t>
      </w:r>
      <w:hyperlink r:id="rId11" w:history="1">
        <w:r w:rsidRPr="00930FF0">
          <w:rPr>
            <w:rStyle w:val="Hyperlink"/>
          </w:rPr>
          <w:t>https://pirls2021.org/results</w:t>
        </w:r>
      </w:hyperlink>
      <w:r>
        <w:t xml:space="preserve"> </w:t>
      </w:r>
    </w:p>
  </w:footnote>
  <w:footnote w:id="12">
    <w:p w14:paraId="1273BA58" w14:textId="0397B5B8" w:rsidR="00CC5DBA" w:rsidRPr="00CC5DBA" w:rsidRDefault="00CC5DBA">
      <w:pPr>
        <w:pStyle w:val="FootnoteText"/>
        <w:rPr>
          <w:lang w:val="en-US"/>
        </w:rPr>
      </w:pPr>
      <w:r>
        <w:rPr>
          <w:rStyle w:val="FootnoteReference"/>
        </w:rPr>
        <w:footnoteRef/>
      </w:r>
      <w:r>
        <w:t xml:space="preserve"> </w:t>
      </w:r>
      <w:hyperlink r:id="rId12" w:history="1">
        <w:r w:rsidRPr="00930FF0">
          <w:rPr>
            <w:rStyle w:val="Hyperlink"/>
          </w:rPr>
          <w:t>https://stat.gov.lv/lv/statistikas-temas/labklajibas-un-vienlidzibas-raditaji/dzimumlidztiesiba/6300-dzimumu-lidztiesiba?themeCode=GE</w:t>
        </w:r>
      </w:hyperlink>
      <w:r>
        <w:t xml:space="preserve"> </w:t>
      </w:r>
    </w:p>
  </w:footnote>
  <w:footnote w:id="13">
    <w:p w14:paraId="41F29022" w14:textId="287E252A" w:rsidR="00181B6C" w:rsidRPr="00181B6C" w:rsidRDefault="00181B6C">
      <w:pPr>
        <w:pStyle w:val="FootnoteText"/>
        <w:rPr>
          <w:lang w:val="en-US"/>
        </w:rPr>
      </w:pPr>
      <w:r>
        <w:rPr>
          <w:rStyle w:val="FootnoteReference"/>
        </w:rPr>
        <w:footnoteRef/>
      </w:r>
      <w:r>
        <w:t xml:space="preserve"> </w:t>
      </w:r>
      <w:hyperlink r:id="rId13" w:history="1">
        <w:r w:rsidRPr="00930FF0">
          <w:rPr>
            <w:rStyle w:val="Hyperlink"/>
          </w:rPr>
          <w:t>https://stat.gov.lv/lv/statistikas-temas/labklajibas-un-vienlidzibas-raditaji/dzimumlidztiesiba/6300-dzimumu-lidztiesiba?themeCode=GE</w:t>
        </w:r>
      </w:hyperlink>
      <w:r>
        <w:t xml:space="preserve"> </w:t>
      </w:r>
    </w:p>
  </w:footnote>
  <w:footnote w:id="14">
    <w:p w14:paraId="46DD6BC8" w14:textId="3A80B70D" w:rsidR="00D12DAF" w:rsidRPr="00D12DAF" w:rsidRDefault="00D12DAF">
      <w:pPr>
        <w:pStyle w:val="FootnoteText"/>
        <w:rPr>
          <w:lang w:val="en-US"/>
        </w:rPr>
      </w:pPr>
      <w:r>
        <w:rPr>
          <w:rStyle w:val="FootnoteReference"/>
        </w:rPr>
        <w:footnoteRef/>
      </w:r>
      <w:r>
        <w:t xml:space="preserve"> </w:t>
      </w:r>
      <w:hyperlink r:id="rId14" w:history="1">
        <w:r w:rsidRPr="00930FF0">
          <w:rPr>
            <w:rStyle w:val="Hyperlink"/>
          </w:rPr>
          <w:t>https://stat.gov.lv/lv/statistikas-temas/labklajibas-un-vienlidzibas-raditaji/dzimumlidztiesiba/6300-dzimumu-lidztiesiba?themeCode=GE</w:t>
        </w:r>
      </w:hyperlink>
      <w:r>
        <w:t xml:space="preserve"> </w:t>
      </w:r>
    </w:p>
  </w:footnote>
  <w:footnote w:id="15">
    <w:p w14:paraId="09D9342B" w14:textId="1494D17C" w:rsidR="00E823A6" w:rsidRPr="00E823A6" w:rsidRDefault="00E823A6">
      <w:pPr>
        <w:pStyle w:val="FootnoteText"/>
        <w:rPr>
          <w:lang w:val="en-US"/>
        </w:rPr>
      </w:pPr>
      <w:r>
        <w:rPr>
          <w:rStyle w:val="FootnoteReference"/>
        </w:rPr>
        <w:footnoteRef/>
      </w:r>
      <w:r>
        <w:t xml:space="preserve"> </w:t>
      </w:r>
      <w:hyperlink r:id="rId15" w:history="1">
        <w:r w:rsidR="00691568" w:rsidRPr="00267AE4">
          <w:rPr>
            <w:rStyle w:val="Hyperlink"/>
          </w:rPr>
          <w:t>https://stat.gov.lv/lv/statistikas-temas/labklajibas-un-vienlidzibas-raditaji/dzimumlidztiesiba/6300-dzimumu-lidztiesiba?themeCode=GE</w:t>
        </w:r>
      </w:hyperlink>
      <w:r w:rsidR="00691568">
        <w:t xml:space="preserve"> </w:t>
      </w:r>
    </w:p>
  </w:footnote>
  <w:footnote w:id="16">
    <w:p w14:paraId="74415CC2" w14:textId="2C354DE0" w:rsidR="003D4EE8" w:rsidRPr="003D4EE8" w:rsidRDefault="003D4EE8">
      <w:pPr>
        <w:pStyle w:val="FootnoteText"/>
        <w:rPr>
          <w:lang w:val="en-US"/>
        </w:rPr>
      </w:pPr>
      <w:r>
        <w:rPr>
          <w:rStyle w:val="FootnoteReference"/>
        </w:rPr>
        <w:footnoteRef/>
      </w:r>
      <w:r>
        <w:t xml:space="preserve"> </w:t>
      </w:r>
      <w:hyperlink r:id="rId16" w:history="1">
        <w:r w:rsidR="008F0785" w:rsidRPr="00267AE4">
          <w:rPr>
            <w:rStyle w:val="Hyperlink"/>
          </w:rPr>
          <w:t>https://stat.gov.lv/lv/statistikas-temas/labklajibas-un-vienlidzibas-raditaji/dzimumlidztiesiba/6299-dzimumu-lidztiesiba?themeCode=GE</w:t>
        </w:r>
      </w:hyperlink>
      <w:r w:rsidR="008F0785">
        <w:t xml:space="preserve"> </w:t>
      </w:r>
    </w:p>
  </w:footnote>
  <w:footnote w:id="17">
    <w:p w14:paraId="5E7F1A65" w14:textId="13F95D53" w:rsidR="003D5C08" w:rsidRPr="003D5C08" w:rsidRDefault="003D5C08">
      <w:pPr>
        <w:pStyle w:val="FootnoteText"/>
        <w:rPr>
          <w:lang w:val="en-US"/>
        </w:rPr>
      </w:pPr>
      <w:r>
        <w:rPr>
          <w:rStyle w:val="FootnoteReference"/>
        </w:rPr>
        <w:footnoteRef/>
      </w:r>
      <w:r>
        <w:t xml:space="preserve"> </w:t>
      </w:r>
      <w:hyperlink r:id="rId17" w:history="1">
        <w:r w:rsidR="0028313C" w:rsidRPr="0036391D">
          <w:rPr>
            <w:rStyle w:val="Hyperlink"/>
            <w:lang w:val="en-US"/>
          </w:rPr>
          <w:t>https://eige.europa.eu/gender-equality-index/2023/LV</w:t>
        </w:r>
      </w:hyperlink>
      <w:r w:rsidR="0028313C">
        <w:rPr>
          <w:lang w:val="en-US"/>
        </w:rPr>
        <w:t xml:space="preserve"> </w:t>
      </w:r>
    </w:p>
  </w:footnote>
  <w:footnote w:id="18">
    <w:p w14:paraId="217F67E6" w14:textId="607DEF8C" w:rsidR="007F102A" w:rsidRPr="007F102A" w:rsidRDefault="007F102A">
      <w:pPr>
        <w:pStyle w:val="FootnoteText"/>
        <w:rPr>
          <w:lang w:val="en-US"/>
        </w:rPr>
      </w:pPr>
      <w:r>
        <w:rPr>
          <w:rStyle w:val="FootnoteReference"/>
        </w:rPr>
        <w:footnoteRef/>
      </w:r>
      <w:r>
        <w:t xml:space="preserve"> </w:t>
      </w:r>
      <w:hyperlink r:id="rId18" w:history="1">
        <w:r w:rsidR="00FA71F0" w:rsidRPr="000F74E4">
          <w:rPr>
            <w:rStyle w:val="Hyperlink"/>
          </w:rPr>
          <w:t>https://stat.gov.lv/lv/statistikas-temas/labklajibas-un-vienlidzibas-raditaji/dzimumlidztiesiba/6299-dzimumu-lidztiesiba?themeCode=GE</w:t>
        </w:r>
      </w:hyperlink>
      <w:r w:rsidR="00FA71F0">
        <w:t xml:space="preserve"> </w:t>
      </w:r>
    </w:p>
  </w:footnote>
  <w:footnote w:id="19">
    <w:p w14:paraId="31B8E856" w14:textId="5A5BC91D" w:rsidR="00F74649" w:rsidRPr="00F74649" w:rsidRDefault="00F74649">
      <w:pPr>
        <w:pStyle w:val="FootnoteText"/>
        <w:rPr>
          <w:lang w:val="en-US"/>
        </w:rPr>
      </w:pPr>
      <w:r>
        <w:rPr>
          <w:rStyle w:val="FootnoteReference"/>
        </w:rPr>
        <w:footnoteRef/>
      </w:r>
      <w:r>
        <w:t xml:space="preserve"> </w:t>
      </w:r>
      <w:hyperlink r:id="rId19" w:history="1">
        <w:r w:rsidR="0045026C" w:rsidRPr="000F74E4">
          <w:rPr>
            <w:rStyle w:val="Hyperlink"/>
          </w:rPr>
          <w:t>https://stat.gov.lv/lv/statistikas-temas/labklajibas-un-vienlidzibas-raditaji/dzimumlidztiesiba/6299-dzimumu-lidztiesiba?themeCode=GE</w:t>
        </w:r>
      </w:hyperlink>
      <w:r w:rsidR="0045026C">
        <w:t xml:space="preserve"> </w:t>
      </w:r>
    </w:p>
  </w:footnote>
  <w:footnote w:id="20">
    <w:p w14:paraId="316BD765" w14:textId="228FB812" w:rsidR="00216C12" w:rsidRPr="004A5902" w:rsidRDefault="00216C12">
      <w:pPr>
        <w:pStyle w:val="FootnoteText"/>
        <w:rPr>
          <w:lang w:val="en-US"/>
        </w:rPr>
      </w:pPr>
      <w:r>
        <w:rPr>
          <w:rStyle w:val="FootnoteReference"/>
        </w:rPr>
        <w:footnoteRef/>
      </w:r>
      <w:r>
        <w:t xml:space="preserve"> </w:t>
      </w:r>
      <w:hyperlink r:id="rId20" w:history="1">
        <w:r w:rsidRPr="00277E7B">
          <w:rPr>
            <w:rStyle w:val="Hyperlink"/>
          </w:rPr>
          <w:t>https://likumi.lv/ta/id/346323</w:t>
        </w:r>
      </w:hyperlink>
      <w:r>
        <w:t xml:space="preserve"> </w:t>
      </w:r>
    </w:p>
  </w:footnote>
  <w:footnote w:id="21">
    <w:p w14:paraId="433C0BF6" w14:textId="0C452585" w:rsidR="009F6595" w:rsidRPr="009F6595" w:rsidRDefault="009F6595">
      <w:pPr>
        <w:pStyle w:val="FootnoteText"/>
        <w:rPr>
          <w:lang w:val="en-US"/>
        </w:rPr>
      </w:pPr>
      <w:r>
        <w:rPr>
          <w:rStyle w:val="FootnoteReference"/>
        </w:rPr>
        <w:footnoteRef/>
      </w:r>
      <w:r>
        <w:t xml:space="preserve"> </w:t>
      </w:r>
      <w:hyperlink r:id="rId21" w:history="1">
        <w:r w:rsidRPr="008B5143">
          <w:rPr>
            <w:rStyle w:val="Hyperlink"/>
          </w:rPr>
          <w:t>https://www.km.gov.lv/lv/media/35865/download?attachment</w:t>
        </w:r>
      </w:hyperlink>
      <w:r>
        <w:t xml:space="preserve"> </w:t>
      </w:r>
    </w:p>
  </w:footnote>
  <w:footnote w:id="22">
    <w:p w14:paraId="0EA5A13A" w14:textId="0E3F5606" w:rsidR="00E3618A" w:rsidRPr="003A11A9" w:rsidRDefault="00E3618A" w:rsidP="00BF5500">
      <w:pPr>
        <w:pStyle w:val="FootnoteText"/>
        <w:rPr>
          <w:lang w:val="en-US"/>
        </w:rPr>
      </w:pPr>
      <w:r w:rsidRPr="003A11A9">
        <w:rPr>
          <w:rStyle w:val="FootnoteReference"/>
        </w:rPr>
        <w:footnoteRef/>
      </w:r>
      <w:r w:rsidRPr="003A11A9">
        <w:t xml:space="preserve"> </w:t>
      </w:r>
      <w:r w:rsidR="00A04CBE" w:rsidRPr="003A11A9">
        <w:rPr>
          <w:rFonts w:eastAsia="Calibri"/>
          <w:bCs/>
        </w:rPr>
        <w:t xml:space="preserve">Eiropas Savienības kohēzijas politikas programmas 2021.–2027. gadam 4.3.4. specifiskā atbalsta mērķa “Sekmēt aktīvu iekļaušanu, lai veicinātu vienlīdzīgas iespējas un aktīvu līdzdalību, kā arī uzlabotu nodarbinātību”  </w:t>
      </w:r>
      <w:r w:rsidR="00A04CBE" w:rsidRPr="003A11A9">
        <w:rPr>
          <w:lang w:val="en-US"/>
        </w:rPr>
        <w:t>4.3.4.1. “</w:t>
      </w:r>
      <w:r w:rsidR="00A04CBE" w:rsidRPr="003A11A9">
        <w:t>Vienlīdzīgu iespēju un nediskriminācijas veicināšana</w:t>
      </w:r>
      <w:r w:rsidR="00A04CBE" w:rsidRPr="003A11A9">
        <w:rPr>
          <w:b/>
          <w:bCs/>
        </w:rPr>
        <w:t>”</w:t>
      </w:r>
      <w:r w:rsidR="00A04CBE" w:rsidRPr="003A11A9">
        <w:rPr>
          <w:lang w:val="en-US"/>
        </w:rPr>
        <w:t xml:space="preserve"> ietvaros</w:t>
      </w:r>
    </w:p>
  </w:footnote>
  <w:footnote w:id="23">
    <w:p w14:paraId="1B2E606B" w14:textId="2ED3DAA7" w:rsidR="00E3618A" w:rsidRPr="003A11A9" w:rsidRDefault="00E3618A" w:rsidP="008D0513">
      <w:pPr>
        <w:pStyle w:val="FootnoteText"/>
        <w:rPr>
          <w:lang w:val="en-US"/>
        </w:rPr>
      </w:pPr>
      <w:r w:rsidRPr="003A11A9">
        <w:rPr>
          <w:rStyle w:val="FootnoteReference"/>
        </w:rPr>
        <w:footnoteRef/>
      </w:r>
      <w:r w:rsidRPr="003A11A9">
        <w:t xml:space="preserve"> </w:t>
      </w:r>
      <w:r w:rsidR="00A04CBE" w:rsidRPr="003A11A9">
        <w:rPr>
          <w:lang w:val="en-US"/>
        </w:rPr>
        <w:t>turpat</w:t>
      </w:r>
    </w:p>
  </w:footnote>
  <w:footnote w:id="24">
    <w:p w14:paraId="55FC2565" w14:textId="2E058CFB" w:rsidR="003A11A9" w:rsidRPr="003A11A9" w:rsidRDefault="003A11A9" w:rsidP="003A11A9">
      <w:pPr>
        <w:pStyle w:val="FootnoteText"/>
      </w:pPr>
      <w:r w:rsidRPr="003A11A9">
        <w:rPr>
          <w:rStyle w:val="FootnoteReference"/>
        </w:rPr>
        <w:footnoteRef/>
      </w:r>
      <w:r w:rsidRPr="003A11A9">
        <w:t xml:space="preserve"> Pasākums tiek īstenots projekta “Latvijas romu platforma VII” E</w:t>
      </w:r>
      <w:r w:rsidR="00304C1E">
        <w:t xml:space="preserve">S </w:t>
      </w:r>
      <w:r w:rsidRPr="003A11A9">
        <w:t>programmas „Pilsoņi,</w:t>
      </w:r>
      <w:r w:rsidRPr="003A11A9">
        <w:rPr>
          <w:rStyle w:val="st"/>
        </w:rPr>
        <w:t xml:space="preserve"> vienlīdzība, tiesības un vērtības</w:t>
      </w:r>
      <w:r w:rsidRPr="003A11A9">
        <w:t xml:space="preserve">” </w:t>
      </w:r>
      <w:r w:rsidRPr="003A11A9">
        <w:rPr>
          <w:color w:val="000000"/>
        </w:rPr>
        <w:t xml:space="preserve">(apstiprināts ar Ministru kabineta </w:t>
      </w:r>
      <w:r w:rsidRPr="003A11A9">
        <w:t>2022.gada 13.decembra protokollēmuma Nr. 64 (73.§) 2.punktu) ietvaros. Pasākums tiks īstenots 2025.gadā.</w:t>
      </w:r>
    </w:p>
    <w:p w14:paraId="67AD8BD8" w14:textId="45337480" w:rsidR="003A11A9" w:rsidRPr="003A11A9" w:rsidRDefault="003A11A9">
      <w:pPr>
        <w:pStyle w:val="FootnoteText"/>
        <w:rPr>
          <w:lang w:val="en-US"/>
        </w:rPr>
      </w:pPr>
    </w:p>
  </w:footnote>
  <w:footnote w:id="25">
    <w:p w14:paraId="0490B614" w14:textId="26541AEB" w:rsidR="00BF5500" w:rsidRPr="008F1183" w:rsidRDefault="00BF5500" w:rsidP="00BF5500">
      <w:pPr>
        <w:pStyle w:val="FootnoteText"/>
        <w:rPr>
          <w:lang w:val="en-US"/>
        </w:rPr>
      </w:pPr>
      <w:r>
        <w:rPr>
          <w:rStyle w:val="FootnoteReference"/>
        </w:rPr>
        <w:footnoteRef/>
      </w:r>
      <w:r>
        <w:t xml:space="preserve"> </w:t>
      </w:r>
      <w:r w:rsidR="00A520C6" w:rsidRPr="00D647ED">
        <w:rPr>
          <w:rFonts w:eastAsia="Calibri"/>
          <w:bCs/>
        </w:rPr>
        <w:t xml:space="preserve">ESkohēzijas politikas programmas 2021.–2027. gadam 4.3.4. specifiskā atbalsta mērķa “Sekmēt aktīvu iekļaušanu, lai veicinātu vienlīdzīgas iespējas un aktīvu līdzdalību, kā arī uzlabotu nodarbinātību” 4.3.4.3. pasākuma “Pasākumi ģimenes un darba dzīves saskaņošanai” </w:t>
      </w:r>
      <w:r w:rsidRPr="008F1183">
        <w:rPr>
          <w:lang w:val="en-US"/>
        </w:rPr>
        <w:t>ietvaros</w:t>
      </w:r>
    </w:p>
  </w:footnote>
  <w:footnote w:id="26">
    <w:p w14:paraId="3EA5E067" w14:textId="03996851" w:rsidR="00BF5500" w:rsidRPr="00D647ED" w:rsidRDefault="00BF5500" w:rsidP="00BF5500">
      <w:pPr>
        <w:pStyle w:val="FootnoteText"/>
        <w:rPr>
          <w:sz w:val="22"/>
          <w:szCs w:val="22"/>
          <w:lang w:val="en-US"/>
        </w:rPr>
      </w:pPr>
      <w:r w:rsidRPr="008F1183">
        <w:rPr>
          <w:rStyle w:val="FootnoteReference"/>
        </w:rPr>
        <w:footnoteRef/>
      </w:r>
      <w:r w:rsidRPr="008F1183">
        <w:t xml:space="preserve"> </w:t>
      </w:r>
      <w:r w:rsidR="00D837A2" w:rsidRPr="00D647ED">
        <w:rPr>
          <w:rFonts w:eastAsia="Calibri"/>
          <w:bCs/>
        </w:rPr>
        <w:t>E</w:t>
      </w:r>
      <w:r w:rsidR="00304C1E">
        <w:rPr>
          <w:rFonts w:eastAsia="Calibri"/>
          <w:bCs/>
        </w:rPr>
        <w:t xml:space="preserve">S </w:t>
      </w:r>
      <w:r w:rsidR="00D837A2" w:rsidRPr="00D647ED">
        <w:rPr>
          <w:rFonts w:eastAsia="Calibri"/>
          <w:bCs/>
        </w:rPr>
        <w:t xml:space="preserve">kohēzijas politikas programmas 2021.–2027. gadam 4.3.4. specifiskā atbalsta mērķa “Sekmēt aktīvu iekļaušanu, lai veicinātu vienlīdzīgas iespējas un aktīvu līdzdalību, kā arī uzlabotu nodarbinātību”  </w:t>
      </w:r>
      <w:r w:rsidRPr="008F1183">
        <w:rPr>
          <w:lang w:val="en-US"/>
        </w:rPr>
        <w:t>4.3.4.1</w:t>
      </w:r>
      <w:r w:rsidR="003C4EF7" w:rsidRPr="00E46137">
        <w:rPr>
          <w:lang w:val="en-US"/>
        </w:rPr>
        <w:t xml:space="preserve">. </w:t>
      </w:r>
      <w:r w:rsidR="00A04CBE" w:rsidRPr="00E46137">
        <w:rPr>
          <w:lang w:val="en-US"/>
        </w:rPr>
        <w:t>“</w:t>
      </w:r>
      <w:r w:rsidR="00A04CBE" w:rsidRPr="00D647ED">
        <w:t>Vienlīdzīgu iespēju un nediskriminācijas veicināšana</w:t>
      </w:r>
      <w:r w:rsidR="00A04CBE" w:rsidRPr="008F1183">
        <w:rPr>
          <w:b/>
          <w:bCs/>
        </w:rPr>
        <w:t>”</w:t>
      </w:r>
      <w:r w:rsidRPr="00E46137">
        <w:rPr>
          <w:lang w:val="en-US"/>
        </w:rPr>
        <w:t xml:space="preserve"> ietvaros</w:t>
      </w:r>
    </w:p>
  </w:footnote>
  <w:footnote w:id="27">
    <w:p w14:paraId="58CE4669" w14:textId="69B87368" w:rsidR="00750CB9" w:rsidRPr="001062CF" w:rsidRDefault="00750CB9" w:rsidP="00AE2E1F">
      <w:pPr>
        <w:pStyle w:val="FootnoteText"/>
        <w:rPr>
          <w:lang w:val="en-US"/>
        </w:rPr>
      </w:pPr>
      <w:r>
        <w:rPr>
          <w:rStyle w:val="FootnoteReference"/>
        </w:rPr>
        <w:footnoteRef/>
      </w:r>
      <w:r>
        <w:t xml:space="preserve"> </w:t>
      </w:r>
      <w:r>
        <w:rPr>
          <w:lang w:val="en-US"/>
        </w:rPr>
        <w:t xml:space="preserve"> Valsts programma bērna un ģimenes stāvokļa uzlabošanai 22.02.00 ietvaros</w:t>
      </w:r>
    </w:p>
  </w:footnote>
  <w:footnote w:id="28">
    <w:p w14:paraId="0C3E3F72" w14:textId="34DCEC0D" w:rsidR="00465A8F" w:rsidRPr="00465A8F" w:rsidRDefault="00465A8F">
      <w:pPr>
        <w:pStyle w:val="FootnoteText"/>
        <w:rPr>
          <w:lang w:val="en-US"/>
        </w:rPr>
      </w:pPr>
      <w:r>
        <w:rPr>
          <w:rStyle w:val="FootnoteReference"/>
        </w:rPr>
        <w:footnoteRef/>
      </w:r>
      <w:r>
        <w:t xml:space="preserve"> </w:t>
      </w:r>
      <w:hyperlink r:id="rId22" w:history="1">
        <w:r w:rsidRPr="008B5143">
          <w:rPr>
            <w:rStyle w:val="Hyperlink"/>
          </w:rPr>
          <w:t>https://lvportals.lv/norises/343997-dzimumu-lidztiesiba-joprojam-valda-iesikstejusi-stereotipi-2022</w:t>
        </w:r>
      </w:hyperlink>
      <w:r>
        <w:t xml:space="preserve"> </w:t>
      </w:r>
    </w:p>
  </w:footnote>
  <w:footnote w:id="29">
    <w:p w14:paraId="56221A1A" w14:textId="1B419BE0" w:rsidR="003E13BB" w:rsidRPr="003E13BB" w:rsidRDefault="003E13BB">
      <w:pPr>
        <w:pStyle w:val="FootnoteText"/>
        <w:rPr>
          <w:lang w:val="en-US"/>
        </w:rPr>
      </w:pPr>
      <w:r>
        <w:rPr>
          <w:rStyle w:val="FootnoteReference"/>
        </w:rPr>
        <w:footnoteRef/>
      </w:r>
      <w:r>
        <w:t xml:space="preserve"> </w:t>
      </w:r>
      <w:hyperlink r:id="rId23" w:history="1">
        <w:r w:rsidRPr="008B5143">
          <w:rPr>
            <w:rStyle w:val="Hyperlink"/>
          </w:rPr>
          <w:t>https://stat.gov.lv/lv/statistikas-temas/labklajibas-un-vienlidzibas-raditaji/dzimumlidztiesiba/6296-dzimumu-lidztiesiba?themeCode=GE</w:t>
        </w:r>
      </w:hyperlink>
      <w:r>
        <w:t xml:space="preserve"> </w:t>
      </w:r>
    </w:p>
  </w:footnote>
  <w:footnote w:id="30">
    <w:p w14:paraId="54D1FAAF" w14:textId="477014AF" w:rsidR="003E13BB" w:rsidRPr="003E13BB" w:rsidRDefault="003E13BB">
      <w:pPr>
        <w:pStyle w:val="FootnoteText"/>
        <w:rPr>
          <w:lang w:val="en-US"/>
        </w:rPr>
      </w:pPr>
      <w:r>
        <w:rPr>
          <w:rStyle w:val="FootnoteReference"/>
        </w:rPr>
        <w:footnoteRef/>
      </w:r>
      <w:r>
        <w:t xml:space="preserve"> </w:t>
      </w:r>
      <w:hyperlink r:id="rId24" w:history="1">
        <w:r w:rsidRPr="008B5143">
          <w:rPr>
            <w:rStyle w:val="Hyperlink"/>
          </w:rPr>
          <w:t>https://stat.gov.lv/lv/statistikas-temas/labklajibas-un-vienlidzibas-raditaji/dzimumlidztiesiba/6296-dzimumu-lidztiesiba?themeCode=GE</w:t>
        </w:r>
      </w:hyperlink>
      <w:r>
        <w:t xml:space="preserve"> </w:t>
      </w:r>
    </w:p>
  </w:footnote>
  <w:footnote w:id="31">
    <w:p w14:paraId="59CC855F" w14:textId="584477F9" w:rsidR="00B74EFC" w:rsidRPr="00B74EFC" w:rsidRDefault="00B74EFC">
      <w:pPr>
        <w:pStyle w:val="FootnoteText"/>
        <w:rPr>
          <w:lang w:val="en-US"/>
        </w:rPr>
      </w:pPr>
      <w:r>
        <w:rPr>
          <w:rStyle w:val="FootnoteReference"/>
        </w:rPr>
        <w:footnoteRef/>
      </w:r>
      <w:r>
        <w:t xml:space="preserve"> </w:t>
      </w:r>
      <w:hyperlink r:id="rId25" w:history="1">
        <w:r w:rsidRPr="008B5143">
          <w:rPr>
            <w:rStyle w:val="Hyperlink"/>
          </w:rPr>
          <w:t>https://stat.gov.lv/lv/statistikas-temas/labklajibas-un-vienlidzibas-raditaji/dzimumlidztiesiba/6296-dzimumu-lidztiesiba?themeCode=GE</w:t>
        </w:r>
      </w:hyperlink>
      <w:r>
        <w:t xml:space="preserve"> </w:t>
      </w:r>
    </w:p>
  </w:footnote>
  <w:footnote w:id="32">
    <w:p w14:paraId="2E8EEA11" w14:textId="15843490" w:rsidR="00B74EFC" w:rsidRPr="00B74EFC" w:rsidRDefault="00B74EFC">
      <w:pPr>
        <w:pStyle w:val="FootnoteText"/>
        <w:rPr>
          <w:lang w:val="en-US"/>
        </w:rPr>
      </w:pPr>
      <w:r>
        <w:rPr>
          <w:rStyle w:val="FootnoteReference"/>
        </w:rPr>
        <w:footnoteRef/>
      </w:r>
      <w:r>
        <w:t xml:space="preserve"> </w:t>
      </w:r>
      <w:hyperlink r:id="rId26" w:history="1">
        <w:r w:rsidRPr="008B5143">
          <w:rPr>
            <w:rStyle w:val="Hyperlink"/>
          </w:rPr>
          <w:t>https://stat.gov.lv/lv/statistikas-temas/labklajibas-un-vienlidzibas-raditaji/dzimumlidztiesiba/6296-dzimumu-lidztiesiba?themeCode=GE</w:t>
        </w:r>
      </w:hyperlink>
      <w:r>
        <w:t xml:space="preserve"> </w:t>
      </w:r>
    </w:p>
  </w:footnote>
  <w:footnote w:id="33">
    <w:p w14:paraId="52FF0FDC" w14:textId="5C08EACE" w:rsidR="0052403C" w:rsidRPr="0052403C" w:rsidRDefault="0052403C">
      <w:pPr>
        <w:pStyle w:val="FootnoteText"/>
        <w:rPr>
          <w:lang w:val="en-US"/>
        </w:rPr>
      </w:pPr>
      <w:r>
        <w:rPr>
          <w:rStyle w:val="FootnoteReference"/>
        </w:rPr>
        <w:footnoteRef/>
      </w:r>
      <w:r>
        <w:t xml:space="preserve"> </w:t>
      </w:r>
      <w:hyperlink r:id="rId27" w:history="1">
        <w:r w:rsidRPr="008B5143">
          <w:rPr>
            <w:rStyle w:val="Hyperlink"/>
          </w:rPr>
          <w:t>https://admin.stat.gov.lv/system/files/publication/2022-08/Nr_08_Vardarbibas_izplatiba_Latvija_2021_%2822_00%29_LV_EN.pdf</w:t>
        </w:r>
      </w:hyperlink>
      <w:r>
        <w:t xml:space="preserve"> </w:t>
      </w:r>
    </w:p>
  </w:footnote>
  <w:footnote w:id="34">
    <w:p w14:paraId="6DE68129" w14:textId="77777777" w:rsidR="00B946A1" w:rsidRPr="00FE41CA" w:rsidRDefault="00B946A1" w:rsidP="00B946A1">
      <w:pPr>
        <w:pStyle w:val="FootnoteText"/>
        <w:rPr>
          <w:lang w:val="en-US"/>
        </w:rPr>
      </w:pPr>
      <w:r>
        <w:rPr>
          <w:rStyle w:val="FootnoteReference"/>
        </w:rPr>
        <w:footnoteRef/>
      </w:r>
      <w:r>
        <w:t xml:space="preserve"> </w:t>
      </w:r>
      <w:r w:rsidRPr="00D647ED">
        <w:rPr>
          <w:rFonts w:eastAsia="Calibri"/>
          <w:bCs/>
        </w:rPr>
        <w:t>E</w:t>
      </w:r>
      <w:r>
        <w:rPr>
          <w:rFonts w:eastAsia="Calibri"/>
          <w:bCs/>
        </w:rPr>
        <w:t xml:space="preserve">S </w:t>
      </w:r>
      <w:r w:rsidRPr="00D647ED">
        <w:rPr>
          <w:rFonts w:eastAsia="Calibri"/>
          <w:bCs/>
        </w:rPr>
        <w:t>kohēzijas politikas programmas 2021.–2027. gadam 4.3.4. specifiskā atbalsta mērķa “Sekmēt aktīvu iekļaušanu, lai veicinātu vienlīdzīgas iespējas un aktīvu līdzdalību, kā arī uzlabotu nodarbinātību” 4.3.4.3. pasākuma “Pasākumi ģimenes un darba dzīves saskaņošanai”</w:t>
      </w:r>
      <w:r w:rsidRPr="00FE41CA">
        <w:rPr>
          <w:lang w:val="en-US"/>
        </w:rPr>
        <w:t xml:space="preserve"> ietvaros </w:t>
      </w:r>
    </w:p>
  </w:footnote>
  <w:footnote w:id="35">
    <w:p w14:paraId="6FD2477C" w14:textId="03419DD6" w:rsidR="00BF5500" w:rsidRPr="00FE41CA" w:rsidRDefault="00BF5500" w:rsidP="00BF5500">
      <w:pPr>
        <w:pStyle w:val="FootnoteText"/>
        <w:rPr>
          <w:lang w:val="en-US"/>
        </w:rPr>
      </w:pPr>
      <w:r w:rsidRPr="00FE41CA">
        <w:rPr>
          <w:rStyle w:val="FootnoteReference"/>
        </w:rPr>
        <w:footnoteRef/>
      </w:r>
      <w:r w:rsidRPr="00FE41CA">
        <w:t xml:space="preserve"> </w:t>
      </w:r>
      <w:r w:rsidR="006E6497" w:rsidRPr="00FE41CA">
        <w:rPr>
          <w:lang w:val="en-US"/>
        </w:rPr>
        <w:t>turpat</w:t>
      </w:r>
    </w:p>
  </w:footnote>
  <w:footnote w:id="36">
    <w:p w14:paraId="710D5502" w14:textId="2F438EB8" w:rsidR="00BF5500" w:rsidRPr="00EF617D" w:rsidRDefault="00BF5500" w:rsidP="00BF5500">
      <w:pPr>
        <w:pStyle w:val="FootnoteText"/>
        <w:rPr>
          <w:lang w:val="en-US"/>
        </w:rPr>
      </w:pPr>
      <w:r w:rsidRPr="00FE41CA">
        <w:rPr>
          <w:rStyle w:val="FootnoteReference"/>
        </w:rPr>
        <w:footnoteRef/>
      </w:r>
      <w:r w:rsidRPr="00FE41CA">
        <w:t xml:space="preserve"> </w:t>
      </w:r>
      <w:r w:rsidR="006E6497" w:rsidRPr="00D647ED">
        <w:rPr>
          <w:rFonts w:eastAsia="Calibri"/>
          <w:bCs/>
        </w:rPr>
        <w:t>E</w:t>
      </w:r>
      <w:r w:rsidR="00304C1E">
        <w:rPr>
          <w:rFonts w:eastAsia="Calibri"/>
          <w:bCs/>
        </w:rPr>
        <w:t xml:space="preserve">S  </w:t>
      </w:r>
      <w:r w:rsidR="006E6497" w:rsidRPr="00D647ED">
        <w:rPr>
          <w:rFonts w:eastAsia="Calibri"/>
          <w:bCs/>
        </w:rPr>
        <w:t xml:space="preserve">kohēzijas politikas programmas 2021.–2027. gadam 4.3.4. specifiskā atbalsta mērķa “Sekmēt aktīvu iekļaušanu, lai veicinātu vienlīdzīgas iespējas un aktīvu līdzdalību, kā arī uzlabotu nodarbinātību” </w:t>
      </w:r>
      <w:r w:rsidRPr="00FE41CA">
        <w:rPr>
          <w:lang w:val="en-US"/>
        </w:rPr>
        <w:t>4.3.4.2.</w:t>
      </w:r>
      <w:r w:rsidR="00D837A2" w:rsidRPr="00D647ED">
        <w:rPr>
          <w:lang w:val="en-US"/>
        </w:rPr>
        <w:t xml:space="preserve"> pasākuma </w:t>
      </w:r>
      <w:r w:rsidR="003C4EF7" w:rsidRPr="00D647ED">
        <w:t>“Atbalsta pasākumi vienlīdzīgu iespēju un nediskriminācijas veicināšanai”</w:t>
      </w:r>
      <w:r w:rsidR="007F580D" w:rsidRPr="00D647ED">
        <w:t xml:space="preserve"> </w:t>
      </w:r>
      <w:r w:rsidRPr="00FE41CA">
        <w:rPr>
          <w:lang w:val="en-US"/>
        </w:rPr>
        <w:t>ietvaros</w:t>
      </w:r>
    </w:p>
  </w:footnote>
  <w:footnote w:id="37">
    <w:p w14:paraId="6CAE21D3" w14:textId="3F270CFF" w:rsidR="001062CF" w:rsidRPr="001062CF" w:rsidRDefault="001062CF">
      <w:pPr>
        <w:pStyle w:val="FootnoteText"/>
        <w:rPr>
          <w:lang w:val="en-US"/>
        </w:rPr>
      </w:pPr>
      <w:r w:rsidRPr="00FE41CA">
        <w:rPr>
          <w:rStyle w:val="FootnoteReference"/>
        </w:rPr>
        <w:footnoteRef/>
      </w:r>
      <w:r w:rsidRPr="00FE41CA">
        <w:t xml:space="preserve"> </w:t>
      </w:r>
      <w:r w:rsidR="007F580D" w:rsidRPr="00EF617D">
        <w:rPr>
          <w:lang w:val="en-US"/>
        </w:rPr>
        <w:t xml:space="preserve">Valsts programma bērna un </w:t>
      </w:r>
      <w:r w:rsidR="007F580D" w:rsidRPr="00FE41CA">
        <w:rPr>
          <w:lang w:val="en-US"/>
        </w:rPr>
        <w:t>ģimenes stāvokļa uzlabošanai 22.02.00</w:t>
      </w:r>
      <w:r w:rsidR="00A73111">
        <w:rPr>
          <w:lang w:val="en-US"/>
        </w:rPr>
        <w:t xml:space="preserve"> </w:t>
      </w:r>
      <w:r>
        <w:rPr>
          <w:lang w:val="en-US"/>
        </w:rPr>
        <w:t>ietvaros</w:t>
      </w:r>
    </w:p>
  </w:footnote>
  <w:footnote w:id="38">
    <w:p w14:paraId="609EB4C1" w14:textId="582A6BB7" w:rsidR="00BD7A9C" w:rsidRPr="00BD7A9C" w:rsidRDefault="00BD7A9C">
      <w:pPr>
        <w:pStyle w:val="FootnoteText"/>
        <w:rPr>
          <w:lang w:val="en-US"/>
        </w:rPr>
      </w:pPr>
      <w:r>
        <w:rPr>
          <w:rStyle w:val="FootnoteReference"/>
        </w:rPr>
        <w:footnoteRef/>
      </w:r>
      <w:r>
        <w:t xml:space="preserve"> </w:t>
      </w:r>
      <w:r w:rsidR="009430BD" w:rsidRPr="00EF617D">
        <w:rPr>
          <w:lang w:val="en-US"/>
        </w:rPr>
        <w:t xml:space="preserve">Valsts programma bērna un </w:t>
      </w:r>
      <w:r w:rsidR="009430BD" w:rsidRPr="00FE41CA">
        <w:rPr>
          <w:lang w:val="en-US"/>
        </w:rPr>
        <w:t>ģimenes stāvokļa uzlabošanai 22.02.00</w:t>
      </w:r>
      <w:r w:rsidR="009430BD">
        <w:rPr>
          <w:lang w:val="en-US"/>
        </w:rPr>
        <w:t xml:space="preserve"> ietvaros</w:t>
      </w:r>
      <w:r w:rsidR="009430BD" w:rsidDel="009430BD">
        <w:rPr>
          <w:lang w:val="en-US"/>
        </w:rPr>
        <w:t xml:space="preserve"> </w:t>
      </w:r>
    </w:p>
  </w:footnote>
  <w:footnote w:id="39">
    <w:p w14:paraId="52F47871" w14:textId="77777777" w:rsidR="00CC2005" w:rsidRPr="000F6FC5" w:rsidRDefault="00CC2005" w:rsidP="00CC2005">
      <w:pPr>
        <w:pStyle w:val="FootnoteText"/>
        <w:rPr>
          <w:lang w:val="en-US"/>
        </w:rPr>
      </w:pPr>
      <w:r>
        <w:rPr>
          <w:rStyle w:val="FootnoteReference"/>
        </w:rPr>
        <w:footnoteRef/>
      </w:r>
      <w:r>
        <w:t xml:space="preserve"> </w:t>
      </w:r>
      <w:hyperlink r:id="rId28" w:history="1">
        <w:r w:rsidRPr="00400A37">
          <w:rPr>
            <w:rStyle w:val="Hyperlink"/>
          </w:rPr>
          <w:t>https://data.consilium.europa.eu/doc/document/ST-9026-2023-INIT/lv/pdf</w:t>
        </w:r>
      </w:hyperlink>
      <w:r>
        <w:t xml:space="preserve"> </w:t>
      </w:r>
    </w:p>
  </w:footnote>
  <w:footnote w:id="40">
    <w:p w14:paraId="7BE05360" w14:textId="323B6ADE" w:rsidR="00CD485B" w:rsidRPr="00CD485B" w:rsidRDefault="00CD485B">
      <w:pPr>
        <w:pStyle w:val="FootnoteText"/>
        <w:rPr>
          <w:lang w:val="en-US"/>
        </w:rPr>
      </w:pPr>
      <w:r>
        <w:rPr>
          <w:rStyle w:val="FootnoteReference"/>
        </w:rPr>
        <w:footnoteRef/>
      </w:r>
      <w:r>
        <w:t xml:space="preserve"> </w:t>
      </w:r>
      <w:hyperlink r:id="rId29" w:history="1">
        <w:r w:rsidRPr="00840B97">
          <w:rPr>
            <w:rStyle w:val="Hyperlink"/>
          </w:rPr>
          <w:t>https://likumi.lv/ta/id/325945-tiesibu-akta-projekta-sakotnejas-ietekmes-izvertesanas-kartiba</w:t>
        </w:r>
      </w:hyperlink>
    </w:p>
  </w:footnote>
  <w:footnote w:id="41">
    <w:p w14:paraId="243AF387" w14:textId="3BF5A16E" w:rsidR="002868D3" w:rsidRPr="002868D3" w:rsidRDefault="002868D3">
      <w:pPr>
        <w:pStyle w:val="FootnoteText"/>
        <w:rPr>
          <w:lang w:val="en-US"/>
        </w:rPr>
      </w:pPr>
      <w:r>
        <w:rPr>
          <w:rStyle w:val="FootnoteReference"/>
        </w:rPr>
        <w:footnoteRef/>
      </w:r>
      <w:r>
        <w:t xml:space="preserve"> </w:t>
      </w:r>
      <w:hyperlink r:id="rId30" w:history="1">
        <w:r w:rsidRPr="00840B97">
          <w:rPr>
            <w:rStyle w:val="Hyperlink"/>
          </w:rPr>
          <w:t>https://www.oecd-ilibrary.org/governance/oecd-best-practices-for-gender-budgeting_9574ed6f-en</w:t>
        </w:r>
      </w:hyperlink>
    </w:p>
  </w:footnote>
  <w:footnote w:id="42">
    <w:p w14:paraId="36F74BC5" w14:textId="29D6029F" w:rsidR="009C7ED3" w:rsidRPr="009C7ED3" w:rsidRDefault="009C7ED3">
      <w:pPr>
        <w:pStyle w:val="FootnoteText"/>
        <w:rPr>
          <w:lang w:val="en-US"/>
        </w:rPr>
      </w:pPr>
      <w:r>
        <w:rPr>
          <w:rStyle w:val="FootnoteReference"/>
        </w:rPr>
        <w:footnoteRef/>
      </w:r>
      <w:r>
        <w:t xml:space="preserve"> </w:t>
      </w:r>
      <w:hyperlink r:id="rId31" w:history="1">
        <w:r w:rsidRPr="00840B97">
          <w:rPr>
            <w:rStyle w:val="Hyperlink"/>
          </w:rPr>
          <w:t>https://likumi.lv/ta/id/298289-instrukcija-par-valsts-budzeta-izpildes-analizi</w:t>
        </w:r>
      </w:hyperlink>
    </w:p>
  </w:footnote>
  <w:footnote w:id="43">
    <w:p w14:paraId="03A9D1AE" w14:textId="36D30418" w:rsidR="00CF0640" w:rsidRPr="00CF0640" w:rsidRDefault="00CF0640">
      <w:pPr>
        <w:pStyle w:val="FootnoteText"/>
        <w:rPr>
          <w:lang w:val="en-US"/>
        </w:rPr>
      </w:pPr>
      <w:r>
        <w:rPr>
          <w:rStyle w:val="FootnoteReference"/>
        </w:rPr>
        <w:footnoteRef/>
      </w:r>
      <w:r>
        <w:t xml:space="preserve"> </w:t>
      </w:r>
      <w:hyperlink r:id="rId32" w:history="1">
        <w:r w:rsidRPr="00400A37">
          <w:rPr>
            <w:rStyle w:val="Hyperlink"/>
          </w:rPr>
          <w:t>https://stat.gov.lv/lv/statistikas-temas/labklajibas-un-vienlidzibas-raditaji/dzimumlidztiesiba</w:t>
        </w:r>
      </w:hyperlink>
    </w:p>
  </w:footnote>
  <w:footnote w:id="44">
    <w:p w14:paraId="17F3C3FE" w14:textId="55B57787" w:rsidR="00BC4004" w:rsidRPr="00D647ED" w:rsidRDefault="00BC4004">
      <w:pPr>
        <w:pStyle w:val="FootnoteText"/>
        <w:rPr>
          <w:sz w:val="16"/>
          <w:szCs w:val="16"/>
          <w:lang w:val="en-US"/>
        </w:rPr>
      </w:pPr>
      <w:r>
        <w:rPr>
          <w:rStyle w:val="FootnoteReference"/>
        </w:rPr>
        <w:footnoteRef/>
      </w:r>
      <w:r>
        <w:t xml:space="preserve"> </w:t>
      </w:r>
      <w:r w:rsidRPr="00D647ED">
        <w:rPr>
          <w:rFonts w:ascii="Times New Roman" w:hAnsi="Times New Roman" w:cs="Times New Roman"/>
          <w:bCs/>
        </w:rPr>
        <w:t>Komisija dibināta 1946. gadā, un ir viena no ANO Ekonomisko un sociālo lietu padomes funkcionālajām komisijām. Tā ir galvenā starpvaldību struktūra, un tās mērķis ir apzināt sieviešu vienlīdzīgu tiesību un iespēju principa ievērošanas praksi pasaulē, vienlaikus veidojot globālus standartus dzimumu līdztiesības un sieviešu tiesību veicināšanas jomā.</w:t>
      </w:r>
    </w:p>
  </w:footnote>
  <w:footnote w:id="45">
    <w:p w14:paraId="1FE3E6C2" w14:textId="4DC6F186" w:rsidR="002E6CE1" w:rsidRPr="00D647ED" w:rsidRDefault="00BF5500" w:rsidP="002E6CE1">
      <w:pPr>
        <w:pStyle w:val="FootnoteText"/>
        <w:rPr>
          <w:rFonts w:eastAsia="Calibri"/>
          <w:bCs/>
        </w:rPr>
      </w:pPr>
      <w:r>
        <w:rPr>
          <w:rStyle w:val="FootnoteReference"/>
        </w:rPr>
        <w:footnoteRef/>
      </w:r>
      <w:r>
        <w:t xml:space="preserve"> </w:t>
      </w:r>
      <w:r w:rsidR="002E6CE1" w:rsidRPr="005D7B57">
        <w:rPr>
          <w:rFonts w:eastAsia="Calibri"/>
          <w:bCs/>
        </w:rPr>
        <w:t>E</w:t>
      </w:r>
      <w:r w:rsidR="00304C1E">
        <w:rPr>
          <w:rFonts w:eastAsia="Calibri"/>
          <w:bCs/>
        </w:rPr>
        <w:t xml:space="preserve">S  </w:t>
      </w:r>
      <w:r w:rsidR="002E6CE1" w:rsidRPr="005D7B57">
        <w:rPr>
          <w:rFonts w:eastAsia="Calibri"/>
          <w:bCs/>
        </w:rPr>
        <w:t xml:space="preserve">kohēzijas politikas programmas 2021.–2027. gadam 4.3.4. specifiskā atbalsta mērķa “Sekmēt aktīvu iekļaušanu, lai veicinātu vienlīdzīgas iespējas un aktīvu līdzdalību, kā arī uzlabotu nodarbinātību”  </w:t>
      </w:r>
      <w:r w:rsidR="002E6CE1" w:rsidRPr="008F1183">
        <w:rPr>
          <w:lang w:val="en-US"/>
        </w:rPr>
        <w:t>4.3.4.1</w:t>
      </w:r>
      <w:r w:rsidR="002E6CE1" w:rsidRPr="00E46137">
        <w:rPr>
          <w:lang w:val="en-US"/>
        </w:rPr>
        <w:t>. “</w:t>
      </w:r>
      <w:r w:rsidR="002E6CE1" w:rsidRPr="005D7B57">
        <w:t>Vienlīdzīgu iespēju un nediskriminācijas veicināšana</w:t>
      </w:r>
      <w:r w:rsidR="002E6CE1" w:rsidRPr="008F1183">
        <w:rPr>
          <w:b/>
          <w:bCs/>
        </w:rPr>
        <w:t>”</w:t>
      </w:r>
      <w:r w:rsidR="002E6CE1" w:rsidRPr="00E46137">
        <w:rPr>
          <w:lang w:val="en-US"/>
        </w:rPr>
        <w:t xml:space="preserve"> ietvaros</w:t>
      </w:r>
    </w:p>
    <w:p w14:paraId="27831C66" w14:textId="6E733B45" w:rsidR="00BF5500" w:rsidRDefault="00BF5500" w:rsidP="00BF5500">
      <w:pPr>
        <w:pStyle w:val="FootnoteText"/>
      </w:pPr>
    </w:p>
  </w:footnote>
  <w:footnote w:id="46">
    <w:p w14:paraId="6BE53378" w14:textId="55B5C691" w:rsidR="00BF5500" w:rsidRDefault="00BF5500" w:rsidP="00BF5500">
      <w:pPr>
        <w:pStyle w:val="FootnoteText"/>
      </w:pPr>
      <w:r>
        <w:rPr>
          <w:rStyle w:val="FootnoteReference"/>
        </w:rPr>
        <w:footnoteRef/>
      </w:r>
      <w:r>
        <w:t xml:space="preserve"> </w:t>
      </w:r>
      <w:r w:rsidR="002E6CE1">
        <w:t>turpat</w:t>
      </w:r>
    </w:p>
  </w:footnote>
  <w:footnote w:id="47">
    <w:p w14:paraId="52F46832" w14:textId="5485B17B" w:rsidR="00BF5500" w:rsidRDefault="00BF5500" w:rsidP="00BF5500">
      <w:pPr>
        <w:pStyle w:val="FootnoteText"/>
      </w:pPr>
      <w:r>
        <w:rPr>
          <w:rStyle w:val="FootnoteReference"/>
        </w:rPr>
        <w:footnoteRef/>
      </w:r>
      <w:r>
        <w:t xml:space="preserve"> </w:t>
      </w:r>
      <w:r w:rsidR="002E6CE1">
        <w:t>turpat</w:t>
      </w:r>
    </w:p>
  </w:footnote>
  <w:footnote w:id="48">
    <w:p w14:paraId="57CB793D" w14:textId="77777777" w:rsidR="002468C5" w:rsidRDefault="002468C5">
      <w:pPr>
        <w:pStyle w:val="FootnoteText"/>
      </w:pPr>
      <w:r>
        <w:rPr>
          <w:rStyle w:val="FootnoteReference"/>
        </w:rPr>
        <w:footnoteRef/>
      </w:r>
      <w:r>
        <w:t xml:space="preserve"> Administratīvās kapacitātes ceļa kartes 2021-2027 ietvaros.</w:t>
      </w:r>
    </w:p>
  </w:footnote>
  <w:footnote w:id="49">
    <w:p w14:paraId="183FCA21" w14:textId="77777777" w:rsidR="002468C5" w:rsidRDefault="002468C5">
      <w:pPr>
        <w:pStyle w:val="FootnoteText"/>
      </w:pPr>
      <w:r>
        <w:rPr>
          <w:rStyle w:val="FootnoteReference"/>
        </w:rPr>
        <w:footnoteRef/>
      </w:r>
      <w:r>
        <w:t xml:space="preserve"> Publiskajā pārvaldē nodarbināto mācīšanās un attīstības plāna 2021. – 2027. gada ietvaros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687D" w14:textId="00609C24" w:rsidR="001C1E05" w:rsidRDefault="00D647ED">
    <w:pPr>
      <w:pStyle w:val="Header"/>
    </w:pPr>
    <w:r>
      <w:t>Plāna projekts_</w:t>
    </w:r>
    <w:r w:rsidR="00C02C85" w:rsidDel="00C02C85">
      <w:t xml:space="preserve"> </w:t>
    </w:r>
    <w:r w:rsidR="001C1E05">
      <w:t>decembris_2023</w:t>
    </w:r>
  </w:p>
  <w:p w14:paraId="5AF33843" w14:textId="77777777" w:rsidR="00D647ED" w:rsidRDefault="00D647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2C8"/>
    <w:multiLevelType w:val="multilevel"/>
    <w:tmpl w:val="1D5CB9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1" w15:restartNumberingAfterBreak="0">
    <w:nsid w:val="0D5E1089"/>
    <w:multiLevelType w:val="multilevel"/>
    <w:tmpl w:val="BBD46958"/>
    <w:lvl w:ilvl="0">
      <w:start w:val="1"/>
      <w:numFmt w:val="decimal"/>
      <w:lvlText w:val="%1."/>
      <w:lvlJc w:val="left"/>
      <w:pPr>
        <w:ind w:left="2912" w:hanging="360"/>
      </w:pPr>
      <w:rPr>
        <w:rFonts w:ascii="Times New Roman" w:hAnsi="Times New Roman" w:cs="Times New Roman" w:hint="default"/>
        <w:b/>
        <w:color w:val="auto"/>
      </w:rPr>
    </w:lvl>
    <w:lvl w:ilvl="1">
      <w:start w:val="4"/>
      <w:numFmt w:val="decimal"/>
      <w:isLgl/>
      <w:lvlText w:val="%1.%2."/>
      <w:lvlJc w:val="left"/>
      <w:pPr>
        <w:ind w:left="3119" w:hanging="360"/>
      </w:pPr>
      <w:rPr>
        <w:rFonts w:hint="default"/>
      </w:rPr>
    </w:lvl>
    <w:lvl w:ilvl="2">
      <w:start w:val="1"/>
      <w:numFmt w:val="decimalZero"/>
      <w:isLgl/>
      <w:lvlText w:val="%1.%2.%3."/>
      <w:lvlJc w:val="left"/>
      <w:pPr>
        <w:ind w:left="3686" w:hanging="720"/>
      </w:pPr>
      <w:rPr>
        <w:rFonts w:hint="default"/>
      </w:rPr>
    </w:lvl>
    <w:lvl w:ilvl="3">
      <w:start w:val="1"/>
      <w:numFmt w:val="decimal"/>
      <w:isLgl/>
      <w:lvlText w:val="%1.%2.%3.%4."/>
      <w:lvlJc w:val="left"/>
      <w:pPr>
        <w:ind w:left="3893" w:hanging="720"/>
      </w:pPr>
      <w:rPr>
        <w:rFonts w:hint="default"/>
      </w:rPr>
    </w:lvl>
    <w:lvl w:ilvl="4">
      <w:start w:val="1"/>
      <w:numFmt w:val="decimal"/>
      <w:isLgl/>
      <w:lvlText w:val="%1.%2.%3.%4.%5."/>
      <w:lvlJc w:val="left"/>
      <w:pPr>
        <w:ind w:left="4460" w:hanging="1080"/>
      </w:pPr>
      <w:rPr>
        <w:rFonts w:hint="default"/>
      </w:rPr>
    </w:lvl>
    <w:lvl w:ilvl="5">
      <w:start w:val="1"/>
      <w:numFmt w:val="decimal"/>
      <w:isLgl/>
      <w:lvlText w:val="%1.%2.%3.%4.%5.%6."/>
      <w:lvlJc w:val="left"/>
      <w:pPr>
        <w:ind w:left="4667" w:hanging="1080"/>
      </w:pPr>
      <w:rPr>
        <w:rFonts w:hint="default"/>
      </w:rPr>
    </w:lvl>
    <w:lvl w:ilvl="6">
      <w:start w:val="1"/>
      <w:numFmt w:val="decimal"/>
      <w:isLgl/>
      <w:lvlText w:val="%1.%2.%3.%4.%5.%6.%7."/>
      <w:lvlJc w:val="left"/>
      <w:pPr>
        <w:ind w:left="5234" w:hanging="1440"/>
      </w:pPr>
      <w:rPr>
        <w:rFonts w:hint="default"/>
      </w:rPr>
    </w:lvl>
    <w:lvl w:ilvl="7">
      <w:start w:val="1"/>
      <w:numFmt w:val="decimal"/>
      <w:isLgl/>
      <w:lvlText w:val="%1.%2.%3.%4.%5.%6.%7.%8."/>
      <w:lvlJc w:val="left"/>
      <w:pPr>
        <w:ind w:left="5441" w:hanging="1440"/>
      </w:pPr>
      <w:rPr>
        <w:rFonts w:hint="default"/>
      </w:rPr>
    </w:lvl>
    <w:lvl w:ilvl="8">
      <w:start w:val="1"/>
      <w:numFmt w:val="decimal"/>
      <w:isLgl/>
      <w:lvlText w:val="%1.%2.%3.%4.%5.%6.%7.%8.%9."/>
      <w:lvlJc w:val="left"/>
      <w:pPr>
        <w:ind w:left="6008" w:hanging="1800"/>
      </w:pPr>
      <w:rPr>
        <w:rFonts w:hint="default"/>
      </w:rPr>
    </w:lvl>
  </w:abstractNum>
  <w:abstractNum w:abstractNumId="2" w15:restartNumberingAfterBreak="0">
    <w:nsid w:val="11AA638D"/>
    <w:multiLevelType w:val="hybridMultilevel"/>
    <w:tmpl w:val="A3C67F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393E77"/>
    <w:multiLevelType w:val="hybridMultilevel"/>
    <w:tmpl w:val="0696F742"/>
    <w:lvl w:ilvl="0" w:tplc="A91AE31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240225"/>
    <w:multiLevelType w:val="hybridMultilevel"/>
    <w:tmpl w:val="D278F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856E63"/>
    <w:multiLevelType w:val="hybridMultilevel"/>
    <w:tmpl w:val="540E2CE8"/>
    <w:lvl w:ilvl="0" w:tplc="36F6FD3A">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58354E6"/>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35B5738"/>
    <w:multiLevelType w:val="hybridMultilevel"/>
    <w:tmpl w:val="FF84F5B6"/>
    <w:lvl w:ilvl="0" w:tplc="AC76D5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E6028F6"/>
    <w:multiLevelType w:val="hybridMultilevel"/>
    <w:tmpl w:val="F7169F5C"/>
    <w:lvl w:ilvl="0" w:tplc="74A415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554F03"/>
    <w:multiLevelType w:val="hybridMultilevel"/>
    <w:tmpl w:val="E5DE270A"/>
    <w:lvl w:ilvl="0" w:tplc="4C98F9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9"/>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DD"/>
    <w:rsid w:val="0000452E"/>
    <w:rsid w:val="00005D75"/>
    <w:rsid w:val="00007564"/>
    <w:rsid w:val="00011A66"/>
    <w:rsid w:val="0002041E"/>
    <w:rsid w:val="00022154"/>
    <w:rsid w:val="00026811"/>
    <w:rsid w:val="0002729E"/>
    <w:rsid w:val="000449BA"/>
    <w:rsid w:val="00046FCD"/>
    <w:rsid w:val="00056C3C"/>
    <w:rsid w:val="00062D1E"/>
    <w:rsid w:val="00065FF1"/>
    <w:rsid w:val="00066416"/>
    <w:rsid w:val="000709B7"/>
    <w:rsid w:val="0007106F"/>
    <w:rsid w:val="00072404"/>
    <w:rsid w:val="00074A2D"/>
    <w:rsid w:val="00077026"/>
    <w:rsid w:val="000810DE"/>
    <w:rsid w:val="00084989"/>
    <w:rsid w:val="00091864"/>
    <w:rsid w:val="000942CC"/>
    <w:rsid w:val="000948BC"/>
    <w:rsid w:val="00094E32"/>
    <w:rsid w:val="000A0502"/>
    <w:rsid w:val="000A072B"/>
    <w:rsid w:val="000A15C0"/>
    <w:rsid w:val="000A1E19"/>
    <w:rsid w:val="000A5134"/>
    <w:rsid w:val="000A57B1"/>
    <w:rsid w:val="000B285E"/>
    <w:rsid w:val="000B2FAE"/>
    <w:rsid w:val="000B6C24"/>
    <w:rsid w:val="000C23A2"/>
    <w:rsid w:val="000C4218"/>
    <w:rsid w:val="000C68A9"/>
    <w:rsid w:val="000D41A5"/>
    <w:rsid w:val="000D61AE"/>
    <w:rsid w:val="000E617E"/>
    <w:rsid w:val="000E7369"/>
    <w:rsid w:val="000F294A"/>
    <w:rsid w:val="000F45BA"/>
    <w:rsid w:val="0010459A"/>
    <w:rsid w:val="001062CF"/>
    <w:rsid w:val="001119FD"/>
    <w:rsid w:val="001139D7"/>
    <w:rsid w:val="00114889"/>
    <w:rsid w:val="001164E3"/>
    <w:rsid w:val="00123B53"/>
    <w:rsid w:val="00126176"/>
    <w:rsid w:val="00126E9F"/>
    <w:rsid w:val="001271E8"/>
    <w:rsid w:val="00127253"/>
    <w:rsid w:val="001467C7"/>
    <w:rsid w:val="0016144C"/>
    <w:rsid w:val="00162CB2"/>
    <w:rsid w:val="001703A0"/>
    <w:rsid w:val="0017105C"/>
    <w:rsid w:val="001730D4"/>
    <w:rsid w:val="00181B6C"/>
    <w:rsid w:val="00184A83"/>
    <w:rsid w:val="00190FE3"/>
    <w:rsid w:val="00193ABA"/>
    <w:rsid w:val="001A59B8"/>
    <w:rsid w:val="001A7A35"/>
    <w:rsid w:val="001A7BB2"/>
    <w:rsid w:val="001B532F"/>
    <w:rsid w:val="001C1E05"/>
    <w:rsid w:val="001D03BE"/>
    <w:rsid w:val="001D07A1"/>
    <w:rsid w:val="001D0BF4"/>
    <w:rsid w:val="001D255D"/>
    <w:rsid w:val="001D4BCB"/>
    <w:rsid w:val="001E63E0"/>
    <w:rsid w:val="001F20ED"/>
    <w:rsid w:val="0021306B"/>
    <w:rsid w:val="002137BC"/>
    <w:rsid w:val="00214D7F"/>
    <w:rsid w:val="00214F50"/>
    <w:rsid w:val="00216C12"/>
    <w:rsid w:val="00217F63"/>
    <w:rsid w:val="00225B66"/>
    <w:rsid w:val="00230D30"/>
    <w:rsid w:val="00234052"/>
    <w:rsid w:val="00234483"/>
    <w:rsid w:val="00234D8F"/>
    <w:rsid w:val="002367DD"/>
    <w:rsid w:val="00245420"/>
    <w:rsid w:val="002468C5"/>
    <w:rsid w:val="00250C6D"/>
    <w:rsid w:val="002512CD"/>
    <w:rsid w:val="00253CD2"/>
    <w:rsid w:val="00255586"/>
    <w:rsid w:val="00256170"/>
    <w:rsid w:val="002562A8"/>
    <w:rsid w:val="00256E97"/>
    <w:rsid w:val="00257BAB"/>
    <w:rsid w:val="00261A10"/>
    <w:rsid w:val="002627A9"/>
    <w:rsid w:val="00266F7F"/>
    <w:rsid w:val="002703DD"/>
    <w:rsid w:val="002723D1"/>
    <w:rsid w:val="002728A7"/>
    <w:rsid w:val="0028313C"/>
    <w:rsid w:val="002868D3"/>
    <w:rsid w:val="00287AEB"/>
    <w:rsid w:val="00287F1D"/>
    <w:rsid w:val="00291738"/>
    <w:rsid w:val="0029342C"/>
    <w:rsid w:val="002964C6"/>
    <w:rsid w:val="00296B8E"/>
    <w:rsid w:val="002A151E"/>
    <w:rsid w:val="002A217B"/>
    <w:rsid w:val="002A287E"/>
    <w:rsid w:val="002A49E1"/>
    <w:rsid w:val="002C2198"/>
    <w:rsid w:val="002E0118"/>
    <w:rsid w:val="002E4BBA"/>
    <w:rsid w:val="002E6CE1"/>
    <w:rsid w:val="002F00CD"/>
    <w:rsid w:val="002F4DEE"/>
    <w:rsid w:val="003006B9"/>
    <w:rsid w:val="00300960"/>
    <w:rsid w:val="00301D45"/>
    <w:rsid w:val="0030252F"/>
    <w:rsid w:val="00302A83"/>
    <w:rsid w:val="00302B07"/>
    <w:rsid w:val="00304C1E"/>
    <w:rsid w:val="00310A34"/>
    <w:rsid w:val="0032092E"/>
    <w:rsid w:val="00326962"/>
    <w:rsid w:val="0033158C"/>
    <w:rsid w:val="00332957"/>
    <w:rsid w:val="00333031"/>
    <w:rsid w:val="0034710F"/>
    <w:rsid w:val="00355B8A"/>
    <w:rsid w:val="00374060"/>
    <w:rsid w:val="0037581E"/>
    <w:rsid w:val="00395D66"/>
    <w:rsid w:val="00396C6D"/>
    <w:rsid w:val="003A11A9"/>
    <w:rsid w:val="003B105D"/>
    <w:rsid w:val="003B3C5D"/>
    <w:rsid w:val="003B4A9F"/>
    <w:rsid w:val="003C0BF2"/>
    <w:rsid w:val="003C4EF7"/>
    <w:rsid w:val="003C5A25"/>
    <w:rsid w:val="003C6509"/>
    <w:rsid w:val="003D1036"/>
    <w:rsid w:val="003D38F4"/>
    <w:rsid w:val="003D4EE8"/>
    <w:rsid w:val="003D5509"/>
    <w:rsid w:val="003D5C08"/>
    <w:rsid w:val="003E0ED2"/>
    <w:rsid w:val="003E13BB"/>
    <w:rsid w:val="003F2B2C"/>
    <w:rsid w:val="003F766C"/>
    <w:rsid w:val="004103CC"/>
    <w:rsid w:val="00413C07"/>
    <w:rsid w:val="004403AE"/>
    <w:rsid w:val="00444BC6"/>
    <w:rsid w:val="00447573"/>
    <w:rsid w:val="0045026C"/>
    <w:rsid w:val="004535E6"/>
    <w:rsid w:val="004624C3"/>
    <w:rsid w:val="00463F2F"/>
    <w:rsid w:val="00465A8F"/>
    <w:rsid w:val="00473B7F"/>
    <w:rsid w:val="00480C75"/>
    <w:rsid w:val="00481F25"/>
    <w:rsid w:val="004849E8"/>
    <w:rsid w:val="00487B08"/>
    <w:rsid w:val="00493EE5"/>
    <w:rsid w:val="004A1D6C"/>
    <w:rsid w:val="004A5902"/>
    <w:rsid w:val="004B1385"/>
    <w:rsid w:val="004B7066"/>
    <w:rsid w:val="004C5E93"/>
    <w:rsid w:val="004D2155"/>
    <w:rsid w:val="004D32C5"/>
    <w:rsid w:val="004D7B86"/>
    <w:rsid w:val="004E49CE"/>
    <w:rsid w:val="004E550A"/>
    <w:rsid w:val="004F0DDE"/>
    <w:rsid w:val="004F6751"/>
    <w:rsid w:val="004F6D2A"/>
    <w:rsid w:val="004F6FB1"/>
    <w:rsid w:val="00500BA0"/>
    <w:rsid w:val="0050176D"/>
    <w:rsid w:val="00504F68"/>
    <w:rsid w:val="00510C47"/>
    <w:rsid w:val="00513CEA"/>
    <w:rsid w:val="00514E07"/>
    <w:rsid w:val="00522373"/>
    <w:rsid w:val="0052403C"/>
    <w:rsid w:val="00525AFB"/>
    <w:rsid w:val="005278E5"/>
    <w:rsid w:val="00530650"/>
    <w:rsid w:val="005427C8"/>
    <w:rsid w:val="00555413"/>
    <w:rsid w:val="005554F7"/>
    <w:rsid w:val="00555D5A"/>
    <w:rsid w:val="00563A4A"/>
    <w:rsid w:val="005655B0"/>
    <w:rsid w:val="0056618F"/>
    <w:rsid w:val="00566EAC"/>
    <w:rsid w:val="00574B10"/>
    <w:rsid w:val="005902DD"/>
    <w:rsid w:val="005A7115"/>
    <w:rsid w:val="005A7FA4"/>
    <w:rsid w:val="005B1DDD"/>
    <w:rsid w:val="005B3D68"/>
    <w:rsid w:val="005B7292"/>
    <w:rsid w:val="005B74A0"/>
    <w:rsid w:val="005C1C48"/>
    <w:rsid w:val="005C48D9"/>
    <w:rsid w:val="005D0515"/>
    <w:rsid w:val="005D0AEE"/>
    <w:rsid w:val="005D36CB"/>
    <w:rsid w:val="005E0C32"/>
    <w:rsid w:val="005E11A5"/>
    <w:rsid w:val="005E417D"/>
    <w:rsid w:val="005E69F1"/>
    <w:rsid w:val="005F6268"/>
    <w:rsid w:val="005F6E4D"/>
    <w:rsid w:val="005F7332"/>
    <w:rsid w:val="00605429"/>
    <w:rsid w:val="006076CD"/>
    <w:rsid w:val="00616628"/>
    <w:rsid w:val="0062656E"/>
    <w:rsid w:val="00634B2D"/>
    <w:rsid w:val="00636984"/>
    <w:rsid w:val="00636F33"/>
    <w:rsid w:val="006440C2"/>
    <w:rsid w:val="0064463F"/>
    <w:rsid w:val="00644BAB"/>
    <w:rsid w:val="00651AA9"/>
    <w:rsid w:val="006576BF"/>
    <w:rsid w:val="00663533"/>
    <w:rsid w:val="00664616"/>
    <w:rsid w:val="00665208"/>
    <w:rsid w:val="006655ED"/>
    <w:rsid w:val="006706D1"/>
    <w:rsid w:val="00671B33"/>
    <w:rsid w:val="0067717E"/>
    <w:rsid w:val="0068499A"/>
    <w:rsid w:val="006860F2"/>
    <w:rsid w:val="006866C9"/>
    <w:rsid w:val="00691568"/>
    <w:rsid w:val="006917E7"/>
    <w:rsid w:val="0069457D"/>
    <w:rsid w:val="00695FD1"/>
    <w:rsid w:val="006A04B8"/>
    <w:rsid w:val="006A68B6"/>
    <w:rsid w:val="006B45E0"/>
    <w:rsid w:val="006B5A11"/>
    <w:rsid w:val="006E628C"/>
    <w:rsid w:val="006E6497"/>
    <w:rsid w:val="006F4FFC"/>
    <w:rsid w:val="006F5304"/>
    <w:rsid w:val="00700A66"/>
    <w:rsid w:val="00702CC7"/>
    <w:rsid w:val="007076AD"/>
    <w:rsid w:val="00714E74"/>
    <w:rsid w:val="00716207"/>
    <w:rsid w:val="00717FF0"/>
    <w:rsid w:val="00720B1C"/>
    <w:rsid w:val="00722ED8"/>
    <w:rsid w:val="0073626B"/>
    <w:rsid w:val="00737E70"/>
    <w:rsid w:val="00750CB9"/>
    <w:rsid w:val="00752E2D"/>
    <w:rsid w:val="00753A30"/>
    <w:rsid w:val="00763354"/>
    <w:rsid w:val="0076582E"/>
    <w:rsid w:val="00771A5A"/>
    <w:rsid w:val="007726AD"/>
    <w:rsid w:val="00773516"/>
    <w:rsid w:val="00781A9B"/>
    <w:rsid w:val="007821EA"/>
    <w:rsid w:val="0079237B"/>
    <w:rsid w:val="00793781"/>
    <w:rsid w:val="007A29F7"/>
    <w:rsid w:val="007A5BEC"/>
    <w:rsid w:val="007B38D4"/>
    <w:rsid w:val="007B3D43"/>
    <w:rsid w:val="007B52F3"/>
    <w:rsid w:val="007B5EB7"/>
    <w:rsid w:val="007C2047"/>
    <w:rsid w:val="007C2513"/>
    <w:rsid w:val="007C3BFD"/>
    <w:rsid w:val="007C3C0D"/>
    <w:rsid w:val="007C5813"/>
    <w:rsid w:val="007D008E"/>
    <w:rsid w:val="007D3474"/>
    <w:rsid w:val="007D3BEC"/>
    <w:rsid w:val="007D66F5"/>
    <w:rsid w:val="007D70DA"/>
    <w:rsid w:val="007E0EB0"/>
    <w:rsid w:val="007E1E7E"/>
    <w:rsid w:val="007F102A"/>
    <w:rsid w:val="007F580D"/>
    <w:rsid w:val="007F6AA8"/>
    <w:rsid w:val="0080377C"/>
    <w:rsid w:val="00810295"/>
    <w:rsid w:val="0081417A"/>
    <w:rsid w:val="00814C08"/>
    <w:rsid w:val="00815447"/>
    <w:rsid w:val="00820179"/>
    <w:rsid w:val="0082454A"/>
    <w:rsid w:val="00824D0B"/>
    <w:rsid w:val="008261EF"/>
    <w:rsid w:val="00836C10"/>
    <w:rsid w:val="008442FC"/>
    <w:rsid w:val="0084744D"/>
    <w:rsid w:val="008519B7"/>
    <w:rsid w:val="008562C8"/>
    <w:rsid w:val="0086069B"/>
    <w:rsid w:val="008615BB"/>
    <w:rsid w:val="00863B94"/>
    <w:rsid w:val="00864B14"/>
    <w:rsid w:val="00866DC5"/>
    <w:rsid w:val="00867D79"/>
    <w:rsid w:val="00872DB9"/>
    <w:rsid w:val="0087308E"/>
    <w:rsid w:val="008762F6"/>
    <w:rsid w:val="008837CE"/>
    <w:rsid w:val="00885BCF"/>
    <w:rsid w:val="00890FD9"/>
    <w:rsid w:val="008A0C97"/>
    <w:rsid w:val="008A1D87"/>
    <w:rsid w:val="008D0513"/>
    <w:rsid w:val="008D3448"/>
    <w:rsid w:val="008E267F"/>
    <w:rsid w:val="008E5F1E"/>
    <w:rsid w:val="008E713A"/>
    <w:rsid w:val="008F0785"/>
    <w:rsid w:val="008F1183"/>
    <w:rsid w:val="00905703"/>
    <w:rsid w:val="00911B71"/>
    <w:rsid w:val="00920E2A"/>
    <w:rsid w:val="00922736"/>
    <w:rsid w:val="009231BE"/>
    <w:rsid w:val="009243FE"/>
    <w:rsid w:val="00932E2E"/>
    <w:rsid w:val="00940B5A"/>
    <w:rsid w:val="0094193F"/>
    <w:rsid w:val="009430BD"/>
    <w:rsid w:val="009450DE"/>
    <w:rsid w:val="00945D6F"/>
    <w:rsid w:val="00946453"/>
    <w:rsid w:val="009513F0"/>
    <w:rsid w:val="0095314B"/>
    <w:rsid w:val="009545DB"/>
    <w:rsid w:val="009547D2"/>
    <w:rsid w:val="00957C57"/>
    <w:rsid w:val="00960324"/>
    <w:rsid w:val="009846F1"/>
    <w:rsid w:val="009956E6"/>
    <w:rsid w:val="00996BD7"/>
    <w:rsid w:val="009A4322"/>
    <w:rsid w:val="009B132A"/>
    <w:rsid w:val="009B1F07"/>
    <w:rsid w:val="009B29E9"/>
    <w:rsid w:val="009B7DE0"/>
    <w:rsid w:val="009C03C1"/>
    <w:rsid w:val="009C263D"/>
    <w:rsid w:val="009C7ED3"/>
    <w:rsid w:val="009D389B"/>
    <w:rsid w:val="009D76C3"/>
    <w:rsid w:val="009E06D3"/>
    <w:rsid w:val="009E0D81"/>
    <w:rsid w:val="009E19FD"/>
    <w:rsid w:val="009F2DFB"/>
    <w:rsid w:val="009F6595"/>
    <w:rsid w:val="009F7159"/>
    <w:rsid w:val="00A022FF"/>
    <w:rsid w:val="00A04109"/>
    <w:rsid w:val="00A04CBE"/>
    <w:rsid w:val="00A0593D"/>
    <w:rsid w:val="00A06B5F"/>
    <w:rsid w:val="00A070E1"/>
    <w:rsid w:val="00A1207A"/>
    <w:rsid w:val="00A17A41"/>
    <w:rsid w:val="00A25874"/>
    <w:rsid w:val="00A25D7C"/>
    <w:rsid w:val="00A273E8"/>
    <w:rsid w:val="00A332EA"/>
    <w:rsid w:val="00A45CCE"/>
    <w:rsid w:val="00A478D7"/>
    <w:rsid w:val="00A51070"/>
    <w:rsid w:val="00A520C6"/>
    <w:rsid w:val="00A67EC5"/>
    <w:rsid w:val="00A70B92"/>
    <w:rsid w:val="00A7201D"/>
    <w:rsid w:val="00A73111"/>
    <w:rsid w:val="00A73B81"/>
    <w:rsid w:val="00A7497A"/>
    <w:rsid w:val="00A752C5"/>
    <w:rsid w:val="00A75836"/>
    <w:rsid w:val="00A90965"/>
    <w:rsid w:val="00A92BCF"/>
    <w:rsid w:val="00A94EA7"/>
    <w:rsid w:val="00AA38F2"/>
    <w:rsid w:val="00AA3CC4"/>
    <w:rsid w:val="00AA7352"/>
    <w:rsid w:val="00AB028D"/>
    <w:rsid w:val="00AB5E80"/>
    <w:rsid w:val="00AB68DA"/>
    <w:rsid w:val="00AC0B1B"/>
    <w:rsid w:val="00AD01BB"/>
    <w:rsid w:val="00AD2349"/>
    <w:rsid w:val="00AD2BCD"/>
    <w:rsid w:val="00AD6BC7"/>
    <w:rsid w:val="00AE0B96"/>
    <w:rsid w:val="00AE2E1F"/>
    <w:rsid w:val="00AE55FF"/>
    <w:rsid w:val="00AF4A61"/>
    <w:rsid w:val="00B011E8"/>
    <w:rsid w:val="00B22A57"/>
    <w:rsid w:val="00B26262"/>
    <w:rsid w:val="00B34467"/>
    <w:rsid w:val="00B354B2"/>
    <w:rsid w:val="00B42EF3"/>
    <w:rsid w:val="00B471A3"/>
    <w:rsid w:val="00B54060"/>
    <w:rsid w:val="00B64B80"/>
    <w:rsid w:val="00B725EA"/>
    <w:rsid w:val="00B73297"/>
    <w:rsid w:val="00B73417"/>
    <w:rsid w:val="00B73EBA"/>
    <w:rsid w:val="00B74145"/>
    <w:rsid w:val="00B74EFC"/>
    <w:rsid w:val="00B76044"/>
    <w:rsid w:val="00B80F8D"/>
    <w:rsid w:val="00B811FA"/>
    <w:rsid w:val="00B82B73"/>
    <w:rsid w:val="00B905B2"/>
    <w:rsid w:val="00B90B93"/>
    <w:rsid w:val="00B9133C"/>
    <w:rsid w:val="00B946A1"/>
    <w:rsid w:val="00BA40CF"/>
    <w:rsid w:val="00BA5529"/>
    <w:rsid w:val="00BB0C91"/>
    <w:rsid w:val="00BB31E3"/>
    <w:rsid w:val="00BB3CB5"/>
    <w:rsid w:val="00BB7FD0"/>
    <w:rsid w:val="00BC4004"/>
    <w:rsid w:val="00BC521E"/>
    <w:rsid w:val="00BD34EB"/>
    <w:rsid w:val="00BD5D56"/>
    <w:rsid w:val="00BD79D5"/>
    <w:rsid w:val="00BD7A9C"/>
    <w:rsid w:val="00BE2F90"/>
    <w:rsid w:val="00BE5AB3"/>
    <w:rsid w:val="00BF253D"/>
    <w:rsid w:val="00BF271C"/>
    <w:rsid w:val="00BF40F6"/>
    <w:rsid w:val="00BF5500"/>
    <w:rsid w:val="00BF585E"/>
    <w:rsid w:val="00BF77C9"/>
    <w:rsid w:val="00C02C85"/>
    <w:rsid w:val="00C0508F"/>
    <w:rsid w:val="00C073CF"/>
    <w:rsid w:val="00C126D7"/>
    <w:rsid w:val="00C1422A"/>
    <w:rsid w:val="00C15996"/>
    <w:rsid w:val="00C17DFC"/>
    <w:rsid w:val="00C17F87"/>
    <w:rsid w:val="00C21C12"/>
    <w:rsid w:val="00C46011"/>
    <w:rsid w:val="00C53BA3"/>
    <w:rsid w:val="00C54864"/>
    <w:rsid w:val="00C705D8"/>
    <w:rsid w:val="00C751F3"/>
    <w:rsid w:val="00C81519"/>
    <w:rsid w:val="00C82C3E"/>
    <w:rsid w:val="00C83250"/>
    <w:rsid w:val="00C97390"/>
    <w:rsid w:val="00CA2137"/>
    <w:rsid w:val="00CB1C4C"/>
    <w:rsid w:val="00CC2005"/>
    <w:rsid w:val="00CC50A6"/>
    <w:rsid w:val="00CC5DBA"/>
    <w:rsid w:val="00CD0FDC"/>
    <w:rsid w:val="00CD1502"/>
    <w:rsid w:val="00CD1FB5"/>
    <w:rsid w:val="00CD485B"/>
    <w:rsid w:val="00CE49BB"/>
    <w:rsid w:val="00CE788C"/>
    <w:rsid w:val="00CF0640"/>
    <w:rsid w:val="00CF203F"/>
    <w:rsid w:val="00CF2816"/>
    <w:rsid w:val="00CF5E12"/>
    <w:rsid w:val="00D02E9B"/>
    <w:rsid w:val="00D04304"/>
    <w:rsid w:val="00D10E29"/>
    <w:rsid w:val="00D12DAF"/>
    <w:rsid w:val="00D15EC0"/>
    <w:rsid w:val="00D163EC"/>
    <w:rsid w:val="00D31EB0"/>
    <w:rsid w:val="00D33C8E"/>
    <w:rsid w:val="00D401DC"/>
    <w:rsid w:val="00D438F9"/>
    <w:rsid w:val="00D51C99"/>
    <w:rsid w:val="00D536AD"/>
    <w:rsid w:val="00D55624"/>
    <w:rsid w:val="00D55D16"/>
    <w:rsid w:val="00D62AB1"/>
    <w:rsid w:val="00D62C21"/>
    <w:rsid w:val="00D647ED"/>
    <w:rsid w:val="00D678C7"/>
    <w:rsid w:val="00D71DF6"/>
    <w:rsid w:val="00D75942"/>
    <w:rsid w:val="00D75E3F"/>
    <w:rsid w:val="00D80F65"/>
    <w:rsid w:val="00D81B70"/>
    <w:rsid w:val="00D837A2"/>
    <w:rsid w:val="00D94F69"/>
    <w:rsid w:val="00D96BB9"/>
    <w:rsid w:val="00DB116A"/>
    <w:rsid w:val="00DB2EF9"/>
    <w:rsid w:val="00DB7783"/>
    <w:rsid w:val="00DB7F18"/>
    <w:rsid w:val="00DC24D4"/>
    <w:rsid w:val="00DC7030"/>
    <w:rsid w:val="00DC72BB"/>
    <w:rsid w:val="00DD0178"/>
    <w:rsid w:val="00DE430E"/>
    <w:rsid w:val="00DF15E8"/>
    <w:rsid w:val="00DF2E76"/>
    <w:rsid w:val="00DF58D3"/>
    <w:rsid w:val="00DF5D9B"/>
    <w:rsid w:val="00E00FFF"/>
    <w:rsid w:val="00E029DE"/>
    <w:rsid w:val="00E03CF3"/>
    <w:rsid w:val="00E16FF9"/>
    <w:rsid w:val="00E2751E"/>
    <w:rsid w:val="00E30F0D"/>
    <w:rsid w:val="00E34D83"/>
    <w:rsid w:val="00E3618A"/>
    <w:rsid w:val="00E37525"/>
    <w:rsid w:val="00E46137"/>
    <w:rsid w:val="00E7227E"/>
    <w:rsid w:val="00E77F34"/>
    <w:rsid w:val="00E823A6"/>
    <w:rsid w:val="00E9101B"/>
    <w:rsid w:val="00E92C2F"/>
    <w:rsid w:val="00E9320A"/>
    <w:rsid w:val="00E94B89"/>
    <w:rsid w:val="00E96D6D"/>
    <w:rsid w:val="00EA201C"/>
    <w:rsid w:val="00EA67CC"/>
    <w:rsid w:val="00EC566B"/>
    <w:rsid w:val="00ED09F3"/>
    <w:rsid w:val="00ED3E3A"/>
    <w:rsid w:val="00ED7829"/>
    <w:rsid w:val="00EF32CF"/>
    <w:rsid w:val="00EF617D"/>
    <w:rsid w:val="00EF6672"/>
    <w:rsid w:val="00EF6CE5"/>
    <w:rsid w:val="00EF77BD"/>
    <w:rsid w:val="00EF7C4D"/>
    <w:rsid w:val="00F01FA3"/>
    <w:rsid w:val="00F03099"/>
    <w:rsid w:val="00F04F6E"/>
    <w:rsid w:val="00F14569"/>
    <w:rsid w:val="00F14C31"/>
    <w:rsid w:val="00F22171"/>
    <w:rsid w:val="00F2270F"/>
    <w:rsid w:val="00F261AA"/>
    <w:rsid w:val="00F400DB"/>
    <w:rsid w:val="00F412D0"/>
    <w:rsid w:val="00F42696"/>
    <w:rsid w:val="00F4330A"/>
    <w:rsid w:val="00F45223"/>
    <w:rsid w:val="00F46708"/>
    <w:rsid w:val="00F54674"/>
    <w:rsid w:val="00F60342"/>
    <w:rsid w:val="00F61D82"/>
    <w:rsid w:val="00F65BA5"/>
    <w:rsid w:val="00F74649"/>
    <w:rsid w:val="00F81590"/>
    <w:rsid w:val="00F92392"/>
    <w:rsid w:val="00F926CC"/>
    <w:rsid w:val="00F92E36"/>
    <w:rsid w:val="00F968CF"/>
    <w:rsid w:val="00FA3463"/>
    <w:rsid w:val="00FA71F0"/>
    <w:rsid w:val="00FC5B15"/>
    <w:rsid w:val="00FD33D0"/>
    <w:rsid w:val="00FD6DE7"/>
    <w:rsid w:val="00FE0F74"/>
    <w:rsid w:val="00FE16C2"/>
    <w:rsid w:val="00FE2FE7"/>
    <w:rsid w:val="00FE41CA"/>
    <w:rsid w:val="00FF012D"/>
    <w:rsid w:val="00FF57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791E"/>
  <w15:chartTrackingRefBased/>
  <w15:docId w15:val="{3396F210-7391-4CD2-96F0-BCFFC05F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8A"/>
    <w:pPr>
      <w:spacing w:after="0" w:line="240" w:lineRule="auto"/>
    </w:pPr>
    <w:rPr>
      <w:sz w:val="24"/>
      <w:szCs w:val="24"/>
    </w:rPr>
  </w:style>
  <w:style w:type="paragraph" w:styleId="Heading1">
    <w:name w:val="heading 1"/>
    <w:basedOn w:val="Normal"/>
    <w:next w:val="Normal"/>
    <w:link w:val="Heading1Char"/>
    <w:uiPriority w:val="9"/>
    <w:qFormat/>
    <w:rsid w:val="002703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3DD"/>
    <w:rPr>
      <w:rFonts w:asciiTheme="majorHAnsi" w:eastAsiaTheme="majorEastAsia" w:hAnsiTheme="majorHAnsi" w:cstheme="majorBidi"/>
      <w:color w:val="2F5496" w:themeColor="accent1" w:themeShade="BF"/>
      <w:sz w:val="32"/>
      <w:szCs w:val="32"/>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ft"/>
    <w:basedOn w:val="Normal"/>
    <w:link w:val="FootnoteTextChar"/>
    <w:uiPriority w:val="99"/>
    <w:unhideWhenUsed/>
    <w:qFormat/>
    <w:rsid w:val="002703DD"/>
    <w:rPr>
      <w:sz w:val="20"/>
      <w:szCs w:val="20"/>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2703DD"/>
    <w:rPr>
      <w:sz w:val="20"/>
      <w:szCs w:val="20"/>
    </w:rPr>
  </w:style>
  <w:style w:type="character" w:styleId="FootnoteReference">
    <w:name w:val="footnote reference"/>
    <w:aliases w:val="Footnote Reference Number,Footnote symbol,SUPERS,Footnote Reference Superscript,Footnote Refernece,ftref,Odwołanie przypisu,BVI fnr,Footnotes refss,Ref,de nota al pie,-E Fußnotenzeichen,Footnote reference number,Times 10 Point,E,E FNZ"/>
    <w:basedOn w:val="DefaultParagraphFont"/>
    <w:uiPriority w:val="99"/>
    <w:unhideWhenUsed/>
    <w:qFormat/>
    <w:rsid w:val="002703DD"/>
    <w:rPr>
      <w:vertAlign w:val="superscript"/>
    </w:rPr>
  </w:style>
  <w:style w:type="character" w:styleId="Hyperlink">
    <w:name w:val="Hyperlink"/>
    <w:basedOn w:val="DefaultParagraphFont"/>
    <w:uiPriority w:val="99"/>
    <w:unhideWhenUsed/>
    <w:rsid w:val="002703DD"/>
    <w:rPr>
      <w:color w:val="0000FF"/>
      <w:u w:val="single"/>
    </w:rPr>
  </w:style>
  <w:style w:type="character" w:styleId="CommentReference">
    <w:name w:val="annotation reference"/>
    <w:basedOn w:val="DefaultParagraphFont"/>
    <w:uiPriority w:val="99"/>
    <w:semiHidden/>
    <w:unhideWhenUsed/>
    <w:rsid w:val="002703DD"/>
    <w:rPr>
      <w:sz w:val="16"/>
      <w:szCs w:val="16"/>
    </w:rPr>
  </w:style>
  <w:style w:type="paragraph" w:styleId="CommentText">
    <w:name w:val="annotation text"/>
    <w:basedOn w:val="Normal"/>
    <w:link w:val="CommentTextChar"/>
    <w:uiPriority w:val="99"/>
    <w:unhideWhenUsed/>
    <w:rsid w:val="002703DD"/>
    <w:rPr>
      <w:sz w:val="20"/>
      <w:szCs w:val="20"/>
    </w:rPr>
  </w:style>
  <w:style w:type="character" w:customStyle="1" w:styleId="CommentTextChar">
    <w:name w:val="Comment Text Char"/>
    <w:basedOn w:val="DefaultParagraphFont"/>
    <w:link w:val="CommentText"/>
    <w:uiPriority w:val="99"/>
    <w:rsid w:val="002703DD"/>
    <w:rPr>
      <w:sz w:val="20"/>
      <w:szCs w:val="20"/>
    </w:rPr>
  </w:style>
  <w:style w:type="paragraph" w:styleId="CommentSubject">
    <w:name w:val="annotation subject"/>
    <w:basedOn w:val="CommentText"/>
    <w:next w:val="CommentText"/>
    <w:link w:val="CommentSubjectChar"/>
    <w:uiPriority w:val="99"/>
    <w:semiHidden/>
    <w:unhideWhenUsed/>
    <w:rsid w:val="006576BF"/>
    <w:rPr>
      <w:b/>
      <w:bCs/>
    </w:rPr>
  </w:style>
  <w:style w:type="character" w:customStyle="1" w:styleId="CommentSubjectChar">
    <w:name w:val="Comment Subject Char"/>
    <w:basedOn w:val="CommentTextChar"/>
    <w:link w:val="CommentSubject"/>
    <w:uiPriority w:val="99"/>
    <w:semiHidden/>
    <w:rsid w:val="006576BF"/>
    <w:rPr>
      <w:b/>
      <w:bCs/>
      <w:sz w:val="20"/>
      <w:szCs w:val="20"/>
    </w:rPr>
  </w:style>
  <w:style w:type="paragraph" w:styleId="Header">
    <w:name w:val="header"/>
    <w:basedOn w:val="Normal"/>
    <w:link w:val="HeaderChar"/>
    <w:uiPriority w:val="99"/>
    <w:unhideWhenUsed/>
    <w:rsid w:val="00BE2F90"/>
    <w:pPr>
      <w:tabs>
        <w:tab w:val="center" w:pos="4153"/>
        <w:tab w:val="right" w:pos="8306"/>
      </w:tabs>
    </w:pPr>
  </w:style>
  <w:style w:type="character" w:customStyle="1" w:styleId="HeaderChar">
    <w:name w:val="Header Char"/>
    <w:basedOn w:val="DefaultParagraphFont"/>
    <w:link w:val="Header"/>
    <w:uiPriority w:val="99"/>
    <w:rsid w:val="00BE2F90"/>
    <w:rPr>
      <w:sz w:val="24"/>
      <w:szCs w:val="24"/>
    </w:rPr>
  </w:style>
  <w:style w:type="paragraph" w:styleId="Footer">
    <w:name w:val="footer"/>
    <w:basedOn w:val="Normal"/>
    <w:link w:val="FooterChar"/>
    <w:uiPriority w:val="99"/>
    <w:unhideWhenUsed/>
    <w:rsid w:val="00BE2F90"/>
    <w:pPr>
      <w:tabs>
        <w:tab w:val="center" w:pos="4153"/>
        <w:tab w:val="right" w:pos="8306"/>
      </w:tabs>
    </w:pPr>
  </w:style>
  <w:style w:type="character" w:customStyle="1" w:styleId="FooterChar">
    <w:name w:val="Footer Char"/>
    <w:basedOn w:val="DefaultParagraphFont"/>
    <w:link w:val="Footer"/>
    <w:uiPriority w:val="99"/>
    <w:rsid w:val="00BE2F90"/>
    <w:rPr>
      <w:sz w:val="24"/>
      <w:szCs w:val="24"/>
    </w:rPr>
  </w:style>
  <w:style w:type="table" w:styleId="TableGrid">
    <w:name w:val="Table Grid"/>
    <w:basedOn w:val="TableNormal"/>
    <w:uiPriority w:val="59"/>
    <w:rsid w:val="00B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
    <w:basedOn w:val="Normal"/>
    <w:link w:val="ListParagraphChar"/>
    <w:uiPriority w:val="99"/>
    <w:qFormat/>
    <w:rsid w:val="00DF2E76"/>
    <w:pPr>
      <w:ind w:left="720"/>
      <w:contextualSpacing/>
    </w:pPr>
  </w:style>
  <w:style w:type="character" w:customStyle="1" w:styleId="UnresolvedMention">
    <w:name w:val="Unresolved Mention"/>
    <w:basedOn w:val="DefaultParagraphFont"/>
    <w:uiPriority w:val="99"/>
    <w:semiHidden/>
    <w:unhideWhenUsed/>
    <w:rsid w:val="005655B0"/>
    <w:rPr>
      <w:color w:val="605E5C"/>
      <w:shd w:val="clear" w:color="auto" w:fill="E1DFDD"/>
    </w:rPr>
  </w:style>
  <w:style w:type="paragraph" w:styleId="NormalWeb">
    <w:name w:val="Normal (Web)"/>
    <w:basedOn w:val="Normal"/>
    <w:unhideWhenUsed/>
    <w:rsid w:val="00C83250"/>
    <w:pPr>
      <w:spacing w:before="100" w:beforeAutospacing="1" w:after="100" w:afterAutospacing="1"/>
    </w:pPr>
    <w:rPr>
      <w:rFonts w:ascii="Times New Roman" w:eastAsia="Times New Roman" w:hAnsi="Times New Roman" w:cs="Times New Roman"/>
      <w:lang w:eastAsia="lv-LV"/>
    </w:rPr>
  </w:style>
  <w:style w:type="character" w:customStyle="1" w:styleId="reference-text">
    <w:name w:val="reference-text"/>
    <w:rsid w:val="00C83250"/>
  </w:style>
  <w:style w:type="character" w:customStyle="1" w:styleId="word">
    <w:name w:val="word"/>
    <w:basedOn w:val="DefaultParagraphFont"/>
    <w:rsid w:val="002723D1"/>
  </w:style>
  <w:style w:type="character" w:styleId="FollowedHyperlink">
    <w:name w:val="FollowedHyperlink"/>
    <w:basedOn w:val="DefaultParagraphFont"/>
    <w:uiPriority w:val="99"/>
    <w:semiHidden/>
    <w:unhideWhenUsed/>
    <w:rsid w:val="004D7B86"/>
    <w:rPr>
      <w:color w:val="954F72" w:themeColor="followedHyperlink"/>
      <w:u w:val="single"/>
    </w:rPr>
  </w:style>
  <w:style w:type="paragraph" w:customStyle="1" w:styleId="mt-translation">
    <w:name w:val="mt-translation"/>
    <w:basedOn w:val="Normal"/>
    <w:rsid w:val="00A90965"/>
    <w:pPr>
      <w:spacing w:before="100" w:beforeAutospacing="1" w:after="100" w:afterAutospacing="1"/>
    </w:pPr>
    <w:rPr>
      <w:rFonts w:ascii="Times New Roman" w:eastAsia="Times New Roman" w:hAnsi="Times New Roman" w:cs="Times New Roman"/>
      <w:lang w:eastAsia="lv-LV"/>
    </w:rPr>
  </w:style>
  <w:style w:type="character" w:customStyle="1" w:styleId="phrase">
    <w:name w:val="phrase"/>
    <w:basedOn w:val="DefaultParagraphFont"/>
    <w:rsid w:val="00A90965"/>
  </w:style>
  <w:style w:type="character" w:customStyle="1" w:styleId="xcontentpasted0">
    <w:name w:val="x_contentpasted0"/>
    <w:basedOn w:val="DefaultParagraphFont"/>
    <w:rsid w:val="00716207"/>
  </w:style>
  <w:style w:type="character" w:customStyle="1" w:styleId="st">
    <w:name w:val="st"/>
    <w:basedOn w:val="DefaultParagraphFont"/>
    <w:rsid w:val="003A11A9"/>
  </w:style>
  <w:style w:type="character" w:customStyle="1" w:styleId="ListParagraphChar">
    <w:name w:val="List Paragraph Char"/>
    <w:aliases w:val="2 Char,Saraksta rindkopa1 Char"/>
    <w:link w:val="ListParagraph"/>
    <w:uiPriority w:val="99"/>
    <w:locked/>
    <w:rsid w:val="00AA73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5352">
      <w:bodyDiv w:val="1"/>
      <w:marLeft w:val="0"/>
      <w:marRight w:val="0"/>
      <w:marTop w:val="0"/>
      <w:marBottom w:val="0"/>
      <w:divBdr>
        <w:top w:val="none" w:sz="0" w:space="0" w:color="auto"/>
        <w:left w:val="none" w:sz="0" w:space="0" w:color="auto"/>
        <w:bottom w:val="none" w:sz="0" w:space="0" w:color="auto"/>
        <w:right w:val="none" w:sz="0" w:space="0" w:color="auto"/>
      </w:divBdr>
    </w:div>
    <w:div w:id="1113674697">
      <w:bodyDiv w:val="1"/>
      <w:marLeft w:val="0"/>
      <w:marRight w:val="0"/>
      <w:marTop w:val="0"/>
      <w:marBottom w:val="0"/>
      <w:divBdr>
        <w:top w:val="none" w:sz="0" w:space="0" w:color="auto"/>
        <w:left w:val="none" w:sz="0" w:space="0" w:color="auto"/>
        <w:bottom w:val="none" w:sz="0" w:space="0" w:color="auto"/>
        <w:right w:val="none" w:sz="0" w:space="0" w:color="auto"/>
      </w:divBdr>
      <w:divsChild>
        <w:div w:id="1919515925">
          <w:marLeft w:val="0"/>
          <w:marRight w:val="0"/>
          <w:marTop w:val="0"/>
          <w:marBottom w:val="0"/>
          <w:divBdr>
            <w:top w:val="none" w:sz="0" w:space="0" w:color="auto"/>
            <w:left w:val="none" w:sz="0" w:space="0" w:color="auto"/>
            <w:bottom w:val="none" w:sz="0" w:space="0" w:color="auto"/>
            <w:right w:val="none" w:sz="0" w:space="0" w:color="auto"/>
          </w:divBdr>
          <w:divsChild>
            <w:div w:id="145054636">
              <w:marLeft w:val="-360"/>
              <w:marRight w:val="-360"/>
              <w:marTop w:val="0"/>
              <w:marBottom w:val="0"/>
              <w:divBdr>
                <w:top w:val="none" w:sz="0" w:space="0" w:color="auto"/>
                <w:left w:val="none" w:sz="0" w:space="0" w:color="auto"/>
                <w:bottom w:val="none" w:sz="0" w:space="0" w:color="auto"/>
                <w:right w:val="none" w:sz="0" w:space="0" w:color="auto"/>
              </w:divBdr>
              <w:divsChild>
                <w:div w:id="1080299778">
                  <w:marLeft w:val="0"/>
                  <w:marRight w:val="0"/>
                  <w:marTop w:val="0"/>
                  <w:marBottom w:val="0"/>
                  <w:divBdr>
                    <w:top w:val="none" w:sz="0" w:space="0" w:color="auto"/>
                    <w:left w:val="none" w:sz="0" w:space="0" w:color="auto"/>
                    <w:bottom w:val="none" w:sz="0" w:space="0" w:color="auto"/>
                    <w:right w:val="none" w:sz="0" w:space="0" w:color="auto"/>
                  </w:divBdr>
                  <w:divsChild>
                    <w:div w:id="58554141">
                      <w:marLeft w:val="0"/>
                      <w:marRight w:val="0"/>
                      <w:marTop w:val="0"/>
                      <w:marBottom w:val="0"/>
                      <w:divBdr>
                        <w:top w:val="none" w:sz="0" w:space="0" w:color="auto"/>
                        <w:left w:val="none" w:sz="0" w:space="0" w:color="auto"/>
                        <w:bottom w:val="none" w:sz="0" w:space="0" w:color="auto"/>
                        <w:right w:val="none" w:sz="0" w:space="0" w:color="auto"/>
                      </w:divBdr>
                      <w:divsChild>
                        <w:div w:id="609901067">
                          <w:marLeft w:val="0"/>
                          <w:marRight w:val="0"/>
                          <w:marTop w:val="0"/>
                          <w:marBottom w:val="0"/>
                          <w:divBdr>
                            <w:top w:val="none" w:sz="0" w:space="0" w:color="auto"/>
                            <w:left w:val="none" w:sz="0" w:space="0" w:color="auto"/>
                            <w:bottom w:val="none" w:sz="0" w:space="0" w:color="auto"/>
                            <w:right w:val="none" w:sz="0" w:space="0" w:color="auto"/>
                          </w:divBdr>
                          <w:divsChild>
                            <w:div w:id="1794445656">
                              <w:marLeft w:val="0"/>
                              <w:marRight w:val="0"/>
                              <w:marTop w:val="0"/>
                              <w:marBottom w:val="0"/>
                              <w:divBdr>
                                <w:top w:val="none" w:sz="0" w:space="0" w:color="auto"/>
                                <w:left w:val="none" w:sz="0" w:space="0" w:color="auto"/>
                                <w:bottom w:val="none" w:sz="0" w:space="0" w:color="auto"/>
                                <w:right w:val="none" w:sz="0" w:space="0" w:color="auto"/>
                              </w:divBdr>
                            </w:div>
                            <w:div w:id="1561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956200">
      <w:bodyDiv w:val="1"/>
      <w:marLeft w:val="0"/>
      <w:marRight w:val="0"/>
      <w:marTop w:val="0"/>
      <w:marBottom w:val="0"/>
      <w:divBdr>
        <w:top w:val="none" w:sz="0" w:space="0" w:color="auto"/>
        <w:left w:val="none" w:sz="0" w:space="0" w:color="auto"/>
        <w:bottom w:val="none" w:sz="0" w:space="0" w:color="auto"/>
        <w:right w:val="none" w:sz="0" w:space="0" w:color="auto"/>
      </w:divBdr>
    </w:div>
    <w:div w:id="1318917189">
      <w:bodyDiv w:val="1"/>
      <w:marLeft w:val="0"/>
      <w:marRight w:val="0"/>
      <w:marTop w:val="0"/>
      <w:marBottom w:val="0"/>
      <w:divBdr>
        <w:top w:val="none" w:sz="0" w:space="0" w:color="auto"/>
        <w:left w:val="none" w:sz="0" w:space="0" w:color="auto"/>
        <w:bottom w:val="none" w:sz="0" w:space="0" w:color="auto"/>
        <w:right w:val="none" w:sz="0" w:space="0" w:color="auto"/>
      </w:divBdr>
    </w:div>
    <w:div w:id="15034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ige.europa.eu/gender-equality-index/2023/LV" TargetMode="External"/><Relationship Id="rId13" Type="http://schemas.openxmlformats.org/officeDocument/2006/relationships/hyperlink" Target="https://stat.gov.lv/lv/statistikas-temas/labklajibas-un-vienlidzibas-raditaji/dzimumlidztiesiba/6300-dzimumu-lidztiesiba?themeCode=GE" TargetMode="External"/><Relationship Id="rId18" Type="http://schemas.openxmlformats.org/officeDocument/2006/relationships/hyperlink" Target="https://stat.gov.lv/lv/statistikas-temas/labklajibas-un-vienlidzibas-raditaji/dzimumlidztiesiba/6299-dzimumu-lidztiesiba?themeCode=GE" TargetMode="External"/><Relationship Id="rId26" Type="http://schemas.openxmlformats.org/officeDocument/2006/relationships/hyperlink" Target="https://stat.gov.lv/lv/statistikas-temas/labklajibas-un-vienlidzibas-raditaji/dzimumlidztiesiba/6296-dzimumu-lidztiesiba?themeCode=GE" TargetMode="External"/><Relationship Id="rId3" Type="http://schemas.openxmlformats.org/officeDocument/2006/relationships/hyperlink" Target="http://lv.wikipedia.org/w/index.php?title=Aizspriedumi&amp;action=edit&amp;redlink=1" TargetMode="External"/><Relationship Id="rId21" Type="http://schemas.openxmlformats.org/officeDocument/2006/relationships/hyperlink" Target="https://www.km.gov.lv/lv/media/35865/download?attachment" TargetMode="External"/><Relationship Id="rId7" Type="http://schemas.openxmlformats.org/officeDocument/2006/relationships/hyperlink" Target="https://www.oecd.org/education/gender-stereotypes-in-education-a46ae056-en.htm" TargetMode="External"/><Relationship Id="rId12" Type="http://schemas.openxmlformats.org/officeDocument/2006/relationships/hyperlink" Target="https://stat.gov.lv/lv/statistikas-temas/labklajibas-un-vienlidzibas-raditaji/dzimumlidztiesiba/6300-dzimumu-lidztiesiba?themeCode=GE" TargetMode="External"/><Relationship Id="rId17" Type="http://schemas.openxmlformats.org/officeDocument/2006/relationships/hyperlink" Target="https://eige.europa.eu/gender-equality-index/2023/LV" TargetMode="External"/><Relationship Id="rId25" Type="http://schemas.openxmlformats.org/officeDocument/2006/relationships/hyperlink" Target="https://stat.gov.lv/lv/statistikas-temas/labklajibas-un-vienlidzibas-raditaji/dzimumlidztiesiba/6296-dzimumu-lidztiesiba?themeCode=GE" TargetMode="External"/><Relationship Id="rId2" Type="http://schemas.openxmlformats.org/officeDocument/2006/relationships/hyperlink" Target="https://www.lm.gov.lv/lv/dzimumu-lidztiesibas-komiteja" TargetMode="External"/><Relationship Id="rId16" Type="http://schemas.openxmlformats.org/officeDocument/2006/relationships/hyperlink" Target="https://stat.gov.lv/lv/statistikas-temas/labklajibas-un-vienlidzibas-raditaji/dzimumlidztiesiba/6299-dzimumu-lidztiesiba?themeCode=GE" TargetMode="External"/><Relationship Id="rId20" Type="http://schemas.openxmlformats.org/officeDocument/2006/relationships/hyperlink" Target="https://likumi.lv/ta/id/346323" TargetMode="External"/><Relationship Id="rId29" Type="http://schemas.openxmlformats.org/officeDocument/2006/relationships/hyperlink" Target="https://likumi.lv/ta/id/325945-tiesibu-akta-projekta-sakotnejas-ietekmes-izvertesanas-kartiba" TargetMode="External"/><Relationship Id="rId1" Type="http://schemas.openxmlformats.org/officeDocument/2006/relationships/hyperlink" Target="http://tap.mk.gov.lv/lv/mk/tap/?pid=40502106" TargetMode="External"/><Relationship Id="rId6" Type="http://schemas.openxmlformats.org/officeDocument/2006/relationships/hyperlink" Target="http://lv.wikipedia.org/w/index.php?title=Objektivitate&amp;action=edit&amp;redlink=1" TargetMode="External"/><Relationship Id="rId11" Type="http://schemas.openxmlformats.org/officeDocument/2006/relationships/hyperlink" Target="https://pirls2021.org/results" TargetMode="External"/><Relationship Id="rId24" Type="http://schemas.openxmlformats.org/officeDocument/2006/relationships/hyperlink" Target="https://stat.gov.lv/lv/statistikas-temas/labklajibas-un-vienlidzibas-raditaji/dzimumlidztiesiba/6296-dzimumu-lidztiesiba?themeCode=GE" TargetMode="External"/><Relationship Id="rId32" Type="http://schemas.openxmlformats.org/officeDocument/2006/relationships/hyperlink" Target="https://stat.gov.lv/lv/statistikas-temas/labklajibas-un-vienlidzibas-raditaji/dzimumlidztiesiba" TargetMode="External"/><Relationship Id="rId5" Type="http://schemas.openxmlformats.org/officeDocument/2006/relationships/hyperlink" Target="http://lv.wikipedia.org/wiki/Sociolo%C4%A3ija" TargetMode="External"/><Relationship Id="rId15" Type="http://schemas.openxmlformats.org/officeDocument/2006/relationships/hyperlink" Target="https://stat.gov.lv/lv/statistikas-temas/labklajibas-un-vienlidzibas-raditaji/dzimumlidztiesiba/6300-dzimumu-lidztiesiba?themeCode=GE" TargetMode="External"/><Relationship Id="rId23" Type="http://schemas.openxmlformats.org/officeDocument/2006/relationships/hyperlink" Target="https://stat.gov.lv/lv/statistikas-temas/labklajibas-un-vienlidzibas-raditaji/dzimumlidztiesiba/6296-dzimumu-lidztiesiba?themeCode=GE" TargetMode="External"/><Relationship Id="rId28" Type="http://schemas.openxmlformats.org/officeDocument/2006/relationships/hyperlink" Target="https://data.consilium.europa.eu/doc/document/ST-9026-2023-INIT/lv/pdf" TargetMode="External"/><Relationship Id="rId10" Type="http://schemas.openxmlformats.org/officeDocument/2006/relationships/hyperlink" Target="https://www.oecd.org/education/what-can-schools-and-teachers-do-to-help-boys-close-the-gap-in-reading-performance-bcbf795e-en.htm" TargetMode="External"/><Relationship Id="rId19" Type="http://schemas.openxmlformats.org/officeDocument/2006/relationships/hyperlink" Target="https://stat.gov.lv/lv/statistikas-temas/labklajibas-un-vienlidzibas-raditaji/dzimumlidztiesiba/6299-dzimumu-lidztiesiba?themeCode=GE" TargetMode="External"/><Relationship Id="rId31" Type="http://schemas.openxmlformats.org/officeDocument/2006/relationships/hyperlink" Target="https://likumi.lv/ta/id/298289-instrukcija-par-valsts-budzeta-izpildes-analizi" TargetMode="External"/><Relationship Id="rId4" Type="http://schemas.openxmlformats.org/officeDocument/2006/relationships/hyperlink" Target="http://lv.wikipedia.org/wiki/Diskrimin%C4%81cija" TargetMode="External"/><Relationship Id="rId9" Type="http://schemas.openxmlformats.org/officeDocument/2006/relationships/hyperlink" Target="https://stat.gov.lv/lv/statistikas-temas/labklajibas-un-vienlidzibas-raditaji/dzimumlidztiesiba/6301-dzimumu-lidztiesiba?themeCode=GE" TargetMode="External"/><Relationship Id="rId14" Type="http://schemas.openxmlformats.org/officeDocument/2006/relationships/hyperlink" Target="https://stat.gov.lv/lv/statistikas-temas/labklajibas-un-vienlidzibas-raditaji/dzimumlidztiesiba/6300-dzimumu-lidztiesiba?themeCode=GE" TargetMode="External"/><Relationship Id="rId22" Type="http://schemas.openxmlformats.org/officeDocument/2006/relationships/hyperlink" Target="https://lvportals.lv/norises/343997-dzimumu-lidztiesiba-joprojam-valda-iesikstejusi-stereotipi-2022" TargetMode="External"/><Relationship Id="rId27" Type="http://schemas.openxmlformats.org/officeDocument/2006/relationships/hyperlink" Target="https://admin.stat.gov.lv/system/files/publication/2022-08/Nr_08_Vardarbibas_izplatiba_Latvija_2021_%2822_00%29_LV_EN.pdf" TargetMode="External"/><Relationship Id="rId30" Type="http://schemas.openxmlformats.org/officeDocument/2006/relationships/hyperlink" Target="https://www.oecd-ilibrary.org/governance/oecd-best-practices-for-gender-budgeting_9574ed6f-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5541-A587-471A-8DDB-38DEB910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28659</Words>
  <Characters>16336</Characters>
  <Application>Microsoft Office Word</Application>
  <DocSecurity>0</DocSecurity>
  <Lines>136</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Juhņēviča</dc:creator>
  <cp:keywords/>
  <dc:description/>
  <cp:lastModifiedBy>User</cp:lastModifiedBy>
  <cp:revision>3</cp:revision>
  <dcterms:created xsi:type="dcterms:W3CDTF">2024-05-31T11:54:00Z</dcterms:created>
  <dcterms:modified xsi:type="dcterms:W3CDTF">2024-05-31T11:54:00Z</dcterms:modified>
</cp:coreProperties>
</file>